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宜昌市20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年国民经济和社会发展统计公报</w:t>
      </w:r>
    </w:p>
    <w:p>
      <w:pPr>
        <w:rPr>
          <w:rFonts w:hint="default"/>
          <w:lang w:val="e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2025年是“十四五”规划收官之年。一年来，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全市上下深入学习贯彻习近平总书记考察湖北重要讲话精神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认真落实</w:t>
      </w:r>
      <w:r>
        <w:rPr>
          <w:rFonts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省委、省政府决策部署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和</w:t>
      </w:r>
      <w:r>
        <w:rPr>
          <w:rFonts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市委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、市政府</w:t>
      </w:r>
      <w:r>
        <w:rPr>
          <w:rFonts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工作要求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扛牢“三个重要”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新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使命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，践行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“六个奋勇争先”新要求，统筹推进稳增长、促转型、惠民生各项工作，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向难求成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砥砺前行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，经济运行呈现“稳中有进、质效双升”的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良好态势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交出了向新向优的发展答卷、项目攻坚的奋进答卷、温暖厚重的幸福答卷，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加快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打造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全省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支点建设先行区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新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征程上迈出坚实步伐。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一、综合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初步核算，全市实现地区生产总值6464.42亿元，比上年增长6.1%。其中，第一产业增加值696.34亿元，增长3.8%；第二产业增加值2554亿元，增长5.8%；第三产业增加值3214.08亿元，增长6.8%。三次产业结构比例由上年的11.2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∶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40.3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∶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48.5调整为10.8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∶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39.5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∶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49.7。全市人均地区生产总值为165180元，增长6.4%。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523240</wp:posOffset>
            </wp:positionH>
            <wp:positionV relativeFrom="paragraph">
              <wp:posOffset>310515</wp:posOffset>
            </wp:positionV>
            <wp:extent cx="4799330" cy="2364740"/>
            <wp:effectExtent l="5080" t="5080" r="11430" b="7620"/>
            <wp:wrapTopAndBottom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>图1</w:t>
      </w:r>
      <w:r>
        <w:rPr>
          <w:rFonts w:hint="eastAsia" w:asciiTheme="minorEastAsia" w:hAnsi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 xml:space="preserve"> 2021-2025年全市地区生产总值及其增速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595959" w:themeColor="text1" w:themeTint="A6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全市居民消费价格比上年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下降0.1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%。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分类别看，交通通信价格下降2.9%、医疗保健价格下降1.4%、食品烟酒价格下降0.4%、居住价格下降0.1%；生活用品及服务价格上涨0.3%、教育文化娱乐价格上涨0.4%、衣着价格上涨3.7%、其他用品及服务价格上涨10.4%。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年末全市共有各类经营主体86.90万户，比上年增长5.0%，其中企业25.61万户，个体工商户60.29万户。新设立经营主体14.87万户，其中企业7.27万户，个体工商户7.56万户。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-92" w:rightChars="-44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全市城镇新增就业9.97万人，比上年增长1.1%。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outlineLvl w:val="9"/>
        <w:rPr>
          <w:rFonts w:ascii="黑体" w:hAnsi="宋体" w:eastAsia="黑体" w:cs="黑体"/>
          <w:b w:val="0"/>
          <w:bCs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/>
          <w:kern w:val="0"/>
          <w:sz w:val="32"/>
          <w:szCs w:val="32"/>
          <w:shd w:val="clear" w:fill="FFFFFF"/>
          <w:lang w:val="en-US" w:eastAsia="zh-CN" w:bidi="ar"/>
        </w:rPr>
        <w:t>二、农业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-92" w:rightChars="-44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全市实现农林牧渔业总产值1243.42亿元，比上年增长4.3%。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-92" w:rightChars="-44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粮食播种面积484.05万亩，粮食产量154.32万吨，比上年增长0.4%。油料产量24.26万吨，增长2.5%。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-92" w:rightChars="-44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 xml:space="preserve">图2 </w:t>
      </w:r>
      <w:r>
        <w:rPr>
          <w:rFonts w:hint="eastAsia" w:asciiTheme="minorEastAsia" w:hAnsi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>2021-2025年全市粮食产量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-92" w:rightChars="-44" w:firstLine="0" w:firstLineChars="0"/>
        <w:jc w:val="center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107305" cy="2960370"/>
            <wp:effectExtent l="0" t="0" r="13335" b="11430"/>
            <wp:docPr id="4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-92" w:rightChars="-44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蔬菜产量586.15万吨，增长3.6%；园林水果产量472.26万吨，增长4.5%；茶叶产量12.98万吨，增长4.3%；中药材产量16.88万吨，增长4.5%。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-92" w:rightChars="-44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生猪出栏632.21万头，增长5.2%；牛出栏3.87万头，下降17.5%；羊出栏115.35万只，下降10.9%；家禽出笼2621.24万只，下降10.6%；禽蛋产量10.15万吨，增长2.8%。水产品产量22.65万吨，增长4.4%。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outlineLvl w:val="9"/>
        <w:rPr>
          <w:rFonts w:hint="eastAsia" w:ascii="黑体" w:hAnsi="宋体" w:eastAsia="黑体" w:cs="黑体"/>
          <w:b w:val="0"/>
          <w:bCs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/>
          <w:color w:val="auto"/>
          <w:kern w:val="0"/>
          <w:sz w:val="32"/>
          <w:szCs w:val="32"/>
          <w:shd w:val="clear" w:fill="FFFFFF"/>
          <w:lang w:val="en-US" w:eastAsia="zh-CN" w:bidi="ar"/>
        </w:rPr>
        <w:t>三、工业和建筑业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-92" w:rightChars="-44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全年规模以上工业增加值比上年增长7.3%。分门类看，采矿业增长4.4%，制造业增长8.6%，电力、热力、燃气及水生产和供应业增长7.0%。全年高技术制造业增加值增长15.9%，占规模以上工业增加值的比重为17.1%。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-92" w:rightChars="-44" w:firstLine="640" w:firstLineChars="200"/>
        <w:jc w:val="both"/>
        <w:textAlignment w:val="auto"/>
        <w:outlineLvl w:val="9"/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社会用电量292.69亿千瓦时，增长8.2%。分产业看，第一产业用电量3.34亿千瓦时，增长13.9%；第二产业用电量207.73亿千瓦时，增长9.7%，其中工业用电量204.14亿千瓦时，增长9.8%；第三产业用电量39.31亿千瓦时，增长7.3%。城乡居民生活用电量42.31亿千瓦时，增长1.8%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表1  2025年全市规模以上工业主要产品产量及其增速</w:t>
      </w:r>
    </w:p>
    <w:tbl>
      <w:tblPr>
        <w:tblStyle w:val="11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4"/>
        <w:gridCol w:w="1957"/>
        <w:gridCol w:w="1799"/>
        <w:gridCol w:w="1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单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位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产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量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比上年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增长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宋体" w:hAnsi="宋体" w:cs="宋体" w:eastAsia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±%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2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ind w:firstLine="480" w:firstLineChars="200"/>
              <w:jc w:val="both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活性干酵母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万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吨</w:t>
            </w:r>
          </w:p>
        </w:tc>
        <w:tc>
          <w:tcPr>
            <w:tcW w:w="1799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1.10 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13.9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ind w:firstLine="480" w:firstLineChars="200"/>
              <w:jc w:val="both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酵母味素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万吨</w:t>
            </w:r>
          </w:p>
        </w:tc>
        <w:tc>
          <w:tcPr>
            <w:tcW w:w="1799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0.88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-5.5</w:t>
            </w:r>
          </w:p>
        </w:tc>
      </w:tr>
    </w:tbl>
    <w:p>
      <w:pPr>
        <w:ind w:firstLine="240" w:firstLineChars="100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  <w:lang w:eastAsia="zh-CN"/>
        </w:rPr>
        <w:t>续表</w:t>
      </w:r>
    </w:p>
    <w:tbl>
      <w:tblPr>
        <w:tblStyle w:val="11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4"/>
        <w:gridCol w:w="1957"/>
        <w:gridCol w:w="1799"/>
        <w:gridCol w:w="1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单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位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产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量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比上年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增长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宋体" w:hAnsi="宋体" w:cs="宋体" w:eastAsia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±%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both"/>
              <w:rPr>
                <w:rFonts w:hint="eastAsia" w:ascii="宋体" w:hAnsi="宋体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合成氨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万吨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318.19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both"/>
              <w:rPr>
                <w:rFonts w:hint="eastAsia" w:ascii="宋体" w:hAnsi="宋体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尿素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万吨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74.51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-4.4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both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磷肥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万吨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98.65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-3.2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both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磷酸一铵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万吨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304.33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-25.2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磷酸二铵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万吨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231.55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-6.6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both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除草剂原药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万吨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14.90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37.0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化学药品原药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万吨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1.31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-15.0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both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有机硅（DMC）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万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吨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6.52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66.1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both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水泥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万吨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990.26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both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平板玻璃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万重量箱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2559.7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-13.2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both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电力电缆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万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千米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38.52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-28.2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汽车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万辆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6.21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5.6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储能用锂离子电池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万千瓦时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4401.50 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61.1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汽车用锂离子动力电池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万千瓦时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1267.34 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85.9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exact"/>
          <w:jc w:val="center"/>
        </w:trPr>
        <w:tc>
          <w:tcPr>
            <w:tcW w:w="31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发电量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亿千瓦时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1293.98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13.3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-92" w:rightChars="-44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年末在库资质以上建筑业企业749家，完成建筑业总产值比上年增长2.0%。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宋体" w:eastAsia="黑体" w:cs="黑体"/>
          <w:b w:val="0"/>
          <w:bCs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/>
          <w:kern w:val="0"/>
          <w:sz w:val="32"/>
          <w:szCs w:val="32"/>
          <w:shd w:val="clear" w:fill="FFFFFF"/>
          <w:lang w:val="en-US" w:eastAsia="zh-CN" w:bidi="ar"/>
        </w:rPr>
        <w:t>四、固定资产投资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年固定资产投资比上年增长5.6%。分产业看，第一产业投资下降37.3%,第二产业投资增长6.1%,第三产业投资增长6.5%。分领域看，工业投资增长5.9%，基础设施投资增长19.2%，房地产开发投资下降16.4%。民间投资增长1.0%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-4638675</wp:posOffset>
                </wp:positionH>
                <wp:positionV relativeFrom="paragraph">
                  <wp:posOffset>310515</wp:posOffset>
                </wp:positionV>
                <wp:extent cx="548005" cy="26225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亿元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5.25pt;margin-top:24.45pt;height:20.65pt;width:43.15pt;z-index:251660288;mso-width-relative:page;mso-height-relative:page;" filled="f" stroked="f" coordsize="21600,21600" o:gfxdata="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BYAAABkcnMvUEsBAhQAFAAAAAgAh07iQJVY&#10;QNDdAAAACwEAAA8AAAAAAAAAAQAgAAAAOAAAAGRycy9kb3ducmV2LnhtbFBLAQIUABQAAAAIAIdO&#10;4kCUve59QQIAAHMEAAAOAAAAAAAAAAEAIAAAAEIBAABkcnMvZTJvRG9jLnhtbFBLBQYAAAAABgAG&#10;AFkBAAD1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亿元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240" w:lineRule="auto"/>
        <w:ind w:left="0" w:right="0" w:firstLine="640" w:firstLineChars="200"/>
        <w:jc w:val="both"/>
        <w:textAlignment w:val="auto"/>
        <w:outlineLvl w:val="9"/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-4638675</wp:posOffset>
                </wp:positionH>
                <wp:positionV relativeFrom="paragraph">
                  <wp:posOffset>310515</wp:posOffset>
                </wp:positionV>
                <wp:extent cx="548005" cy="26225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亿元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5.25pt;margin-top:24.45pt;height:20.65pt;width:43.15pt;z-index:251659264;mso-width-relative:page;mso-height-relative:page;" filled="f" stroked="f" coordsize="21600,21600" o:gfxdata="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BYAAABkcnMvUEsBAhQAFAAAAAgAh07iQJVY&#10;QNDdAAAACwEAAA8AAAAAAAAAAQAgAAAAOAAAAGRycy9kb3ducmV2LnhtbFBLAQIUABQAAAAIAIdO&#10;4kBH27rVQQIAAHMEAAAOAAAAAAAAAAEAIAAAAEIBAABkcnMvZTJvRG9jLnhtbFBLBQYAAAAABgAG&#10;AFkBAAD1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亿元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全市商品房销售面积346.94万平方米，比上年下降2.2%。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 xml:space="preserve">图3 </w:t>
      </w:r>
      <w:r>
        <w:rPr>
          <w:rFonts w:hint="eastAsia" w:asciiTheme="minorEastAsia" w:hAnsi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>202</w:t>
      </w:r>
      <w:r>
        <w:rPr>
          <w:rFonts w:hint="eastAsia" w:asciiTheme="minorEastAsia" w:hAnsi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>5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>年全市三次产业投资占固定资产投资比重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firstLine="0" w:firstLineChars="0"/>
        <w:jc w:val="center"/>
        <w:textAlignment w:val="auto"/>
        <w:outlineLvl w:val="9"/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4448175" cy="2809875"/>
            <wp:effectExtent l="4445" t="4445" r="5080" b="5080"/>
            <wp:docPr id="6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157" w:beforeLines="50" w:beforeAutospacing="0" w:after="0" w:afterAutospacing="0" w:line="54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/>
          <w:color w:val="auto"/>
          <w:kern w:val="0"/>
          <w:sz w:val="32"/>
          <w:szCs w:val="32"/>
          <w:shd w:val="clear" w:fill="FFFFFF"/>
          <w:lang w:val="en-US" w:eastAsia="zh-CN" w:bidi="ar"/>
        </w:rPr>
        <w:t>五、国内贸易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40" w:lineRule="exact"/>
        <w:ind w:left="0" w:right="0" w:firstLine="64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全市实现社会消费品零售总额2376.24亿元，比上年增长4.4%。其中，限额以上单位零售额900.72亿元，增长6.9%。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>图4</w:t>
      </w:r>
      <w:r>
        <w:rPr>
          <w:rFonts w:hint="eastAsia" w:asciiTheme="minorEastAsia" w:hAnsi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 xml:space="preserve"> 202</w:t>
      </w:r>
      <w:r>
        <w:rPr>
          <w:rFonts w:hint="eastAsia" w:asciiTheme="minorEastAsia" w:hAnsi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>-202</w:t>
      </w:r>
      <w:r>
        <w:rPr>
          <w:rFonts w:hint="eastAsia" w:asciiTheme="minorEastAsia" w:hAnsi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>5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>年全市社会消费品零售总额及其增速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121910" cy="2588260"/>
            <wp:effectExtent l="0" t="0" r="13970" b="2540"/>
            <wp:docPr id="5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从限额以上单位零售商品类别看，粮油、食品类零售额比上年增长5.9%，烟酒类下降17.1%，服装、鞋帽、针纺织品类下降5.4%，化妆品类增长43.5%，金银珠宝类增长46.4%，体育、娱乐用品类增长2.4%，家用电器和音像器材类增长8.6%，通讯器材类增长22.5%，汽车类增长1.5%，其中新能源汽车增长29.3%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限额以上单位通过公共网络实现商品零售额131.56亿元，比上年增长12.0%。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outlineLvl w:val="9"/>
        <w:rPr>
          <w:rFonts w:ascii="黑体" w:hAnsi="宋体" w:eastAsia="黑体" w:cs="黑体"/>
          <w:b w:val="0"/>
          <w:bCs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/>
          <w:kern w:val="0"/>
          <w:sz w:val="32"/>
          <w:szCs w:val="32"/>
          <w:shd w:val="clear" w:fill="FFFFFF"/>
          <w:lang w:val="en-US" w:eastAsia="zh-CN" w:bidi="ar"/>
        </w:rPr>
        <w:t>六、对外经济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全市实现外贸进出口总额544.5亿元，比上年增长9.3%。其中，出口额443.6亿元，增长10.8%；进口额100.9亿元，增长3.1%。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市实际使用外资6649万美元，比上年增长8.6%。对外经济合作业务完成营业额35308万美元，增长52.8%。其中，对外承包工程完成营业额32625万美元，增长45.8%，对外劳务合作完成营业额2682万美元，增长267.9%。全年新批外商投资企业36家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>图</w:t>
      </w:r>
      <w:r>
        <w:rPr>
          <w:rFonts w:hint="eastAsia" w:asciiTheme="minorEastAsia" w:hAnsi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 xml:space="preserve">5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 xml:space="preserve"> 202</w:t>
      </w:r>
      <w:r>
        <w:rPr>
          <w:rFonts w:hint="eastAsia" w:asciiTheme="minorEastAsia" w:hAnsi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>-202</w:t>
      </w:r>
      <w:r>
        <w:rPr>
          <w:rFonts w:hint="eastAsia" w:asciiTheme="minorEastAsia" w:hAnsi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>5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>年全市</w:t>
      </w:r>
      <w:r>
        <w:rPr>
          <w:rFonts w:hint="eastAsia" w:asciiTheme="minorEastAsia" w:hAnsi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>进出口总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shd w:val="clear" w:fill="FFFFFF"/>
          <w:lang w:val="en-US" w:eastAsia="zh-CN" w:bidi="ar"/>
        </w:rPr>
        <w:t>额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firstLine="0" w:firstLineChars="0"/>
        <w:jc w:val="center"/>
        <w:textAlignment w:val="auto"/>
        <w:outlineLvl w:val="9"/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031740" cy="2517140"/>
            <wp:effectExtent l="0" t="0" r="16510" b="16510"/>
            <wp:docPr id="8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outlineLvl w:val="9"/>
        <w:rPr>
          <w:rFonts w:ascii="黑体" w:hAnsi="宋体" w:eastAsia="黑体" w:cs="黑体"/>
          <w:b w:val="0"/>
          <w:bCs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/>
          <w:color w:val="auto"/>
          <w:kern w:val="0"/>
          <w:sz w:val="32"/>
          <w:szCs w:val="32"/>
          <w:shd w:val="clear" w:fill="FFFFFF"/>
          <w:lang w:val="en-US" w:eastAsia="zh-CN" w:bidi="ar"/>
        </w:rPr>
        <w:t>七、交通运输和邮电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年末，全市公路里程38115.73公里，比上年增长0.3%。其中等级公路里程37698.17公里，增长0.5%。全年公路、水路完成货运量2.71亿吨，比上年增长9.0％；货物周转量935.55亿吨公里，增长9.7%；客运量5328.61万人，增长13.6%；旅客周转量24.40亿人公里，增长2.1%。港口货物吞吐量1.56亿吨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年末全市民用汽车拥有量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99.26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万辆，比上年增长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3.7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%，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  <w:t>其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中私人汽车拥有量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92.03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万辆，增长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3.8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全市完成邮政行业业务总量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32.65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亿元，比上年增长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16.6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%。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其中，邮政企业完成业务总量11.14亿元，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快递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企业完成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业务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总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量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21.50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亿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元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全市完成电信业务收入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37.12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亿元，比上年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下降2.6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%。固定电话用户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25.39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万户；移动电话用户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495.16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万户，其中5G移动电话用户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333.51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万户，5G用户覆盖率为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67.4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%。互联网宽带接入用户数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205.9万户。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outlineLvl w:val="9"/>
        <w:rPr>
          <w:rFonts w:ascii="黑体" w:hAnsi="宋体" w:eastAsia="黑体" w:cs="黑体"/>
          <w:b w:val="0"/>
          <w:bCs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/>
          <w:kern w:val="0"/>
          <w:sz w:val="32"/>
          <w:szCs w:val="32"/>
          <w:shd w:val="clear" w:fill="FFFFFF"/>
          <w:lang w:val="en-US" w:eastAsia="zh-CN" w:bidi="ar"/>
        </w:rPr>
        <w:t>八、财政和金融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全市实现地方一般公共预算收入327.05亿元，比上年增长11.2%，其中，税收收入236.14亿元，增长6.9%。地方一般公共预算支出694.98亿元，比上年下降3.6%。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年末全市金融机构本外币存款余额7401.17</w:t>
      </w:r>
      <w:bookmarkStart w:id="0" w:name="_GoBack"/>
      <w:bookmarkEnd w:id="0"/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亿元，比上年增长9.4%；其中住户存款4975.05亿元，增长10.5%。金融机构本外币贷款余额7319.14亿元，增长10.4%；其中住户贷款1217.10亿元，下降0.9%。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年保险公司保费收入175.33亿元，比上年增长8.3%。其中财产险保费收入增长2.0%，健康险和意外伤害险保费收入增长3.1%，寿险保费收入增长10.7%。支付各类赔付额76.78亿元，增长17.1%。其中财产险赔付额增长6.2%，健康险和意外伤害险赔付额下降4.8%，寿险赔付额增长27.1%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/>
        <w:autoSpaceDN/>
        <w:bidi w:val="0"/>
        <w:adjustRightInd w:val="0"/>
        <w:snapToGrid/>
        <w:spacing w:before="0"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b w:val="0"/>
          <w:bCs/>
          <w:highlight w:val="none"/>
        </w:rPr>
      </w:pPr>
      <w:r>
        <w:rPr>
          <w:rFonts w:hint="eastAsia" w:ascii="黑体" w:hAnsi="宋体" w:eastAsia="黑体" w:cs="黑体"/>
          <w:b w:val="0"/>
          <w:bCs/>
          <w:kern w:val="0"/>
          <w:sz w:val="32"/>
          <w:szCs w:val="32"/>
          <w:highlight w:val="none"/>
          <w:shd w:val="clear" w:fill="FFFFFF"/>
          <w:lang w:val="en-US" w:eastAsia="zh-CN" w:bidi="ar"/>
        </w:rPr>
        <w:t>九、教育和科学技术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全市共有普通高校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7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所，中等职业教育学校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16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所，普通中学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167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所，普通小学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206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所，幼儿园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388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所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157" w:afterLines="50" w:afterAutospacing="0" w:line="520" w:lineRule="exact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 xml:space="preserve">表2 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2025年全市学校基本情况表</w:t>
      </w:r>
    </w:p>
    <w:tbl>
      <w:tblPr>
        <w:tblStyle w:val="10"/>
        <w:tblW w:w="8631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4"/>
        <w:gridCol w:w="1595"/>
        <w:gridCol w:w="1595"/>
        <w:gridCol w:w="1576"/>
        <w:gridCol w:w="1351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51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  标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招生数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（万人）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在校生数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（万人）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毕业生数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（万人）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专任教师数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（万人）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493" w:hRule="exact"/>
          <w:jc w:val="center"/>
        </w:trPr>
        <w:tc>
          <w:tcPr>
            <w:tcW w:w="251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普通小学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5" w:rightChars="5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2.63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5" w:rightChars="5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17.57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5" w:rightChars="5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2.96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5" w:rightChars="5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exact"/>
          <w:jc w:val="center"/>
        </w:trPr>
        <w:tc>
          <w:tcPr>
            <w:tcW w:w="251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普通中学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5" w:rightChars="5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4.87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5" w:rightChars="5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14.33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5" w:rightChars="5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4.60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5" w:rightChars="5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1.29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exact"/>
          <w:jc w:val="center"/>
        </w:trPr>
        <w:tc>
          <w:tcPr>
            <w:tcW w:w="251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中等职业教育学校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5" w:rightChars="5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5" w:rightChars="5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2.40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5" w:rightChars="5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0.80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5" w:rightChars="5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exact"/>
          <w:jc w:val="center"/>
        </w:trPr>
        <w:tc>
          <w:tcPr>
            <w:tcW w:w="251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普通高等学校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5" w:rightChars="5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3.02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5" w:rightChars="5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9.34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5" w:rightChars="5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2.32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5" w:rightChars="5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市实现高新技术产业增加值1245.02亿元，比上年增长4.2%，高新技术产业增加值占GDP的比重为19.3%。拥有工程技术研究中心248个，重点实验室132个。全市重要科技成果登记152项。专利申请授权量6335项，其中发明专利1420项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b w:val="0"/>
          <w:bCs/>
          <w:color w:val="auto"/>
        </w:rPr>
      </w:pPr>
      <w:r>
        <w:rPr>
          <w:rFonts w:hint="eastAsia" w:ascii="黑体" w:hAnsi="宋体" w:eastAsia="黑体" w:cs="黑体"/>
          <w:b w:val="0"/>
          <w:bCs/>
          <w:color w:val="auto"/>
          <w:kern w:val="0"/>
          <w:sz w:val="32"/>
          <w:szCs w:val="32"/>
          <w:shd w:val="clear" w:fill="FFFFFF"/>
          <w:lang w:val="en-US" w:eastAsia="zh-CN" w:bidi="ar"/>
        </w:rPr>
        <w:t>十、文化旅游、卫生和体育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年末全市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拥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有文化事业机构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189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个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，艺术事业机构17个，博物馆纪念馆机构20个，剧场、影剧院32个，公共图书馆15个。公共图书馆总藏书6106千册。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default" w:ascii="仿宋_GB2312" w:hAnsi="宋体" w:eastAsia="仿宋_GB2312" w:cs="宋体"/>
          <w:b w:val="0"/>
          <w:color w:val="0000FF"/>
          <w:kern w:val="0"/>
          <w:sz w:val="32"/>
          <w:szCs w:val="32"/>
          <w:shd w:val="clear" w:fill="FFFFFF"/>
          <w:lang w:val="en" w:eastAsia="zh-CN" w:bidi="ar"/>
        </w:rPr>
      </w:pP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年末全市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拥有3A级及以上景区72个，其中5A级景区4个、4A级景区26个。星级饭店38个，其中5星级饭店2个，4星级饭店16个。全年接待国内游客1.41亿人次，增长20.8%；国内旅游总收入1427亿元，增长22.5%。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年末全市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共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有卫生机构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3087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个（含村卫生所），其中医院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、卫生院188个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，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妇幼保健院（所、站）11个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,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疾病预防控制中心（防疫站）15个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。卫生技术人员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37751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人，其中执业医师和执业助理医师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15166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人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，注册护士17001人。卫生机构床位数29727张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7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全市共有体育场馆3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个，专职体育人员2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15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人。参加省以上运动会人数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1730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人，获得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136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枚金牌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黑体" w:hAnsi="宋体" w:eastAsia="黑体" w:cs="黑体"/>
          <w:b w:val="0"/>
          <w:bCs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/>
          <w:kern w:val="0"/>
          <w:sz w:val="32"/>
          <w:szCs w:val="32"/>
          <w:shd w:val="clear" w:fill="FFFFFF"/>
          <w:lang w:val="en-US" w:eastAsia="zh-CN" w:bidi="ar"/>
        </w:rPr>
        <w:t>十一、人口、人民生活和社会保障</w:t>
      </w:r>
      <w:r>
        <w:rPr>
          <w:rFonts w:hint="eastAsia" w:ascii="黑体" w:hAnsi="宋体" w:eastAsia="黑体" w:cs="黑体"/>
          <w:b w:val="0"/>
          <w:bCs/>
          <w:kern w:val="0"/>
          <w:sz w:val="32"/>
          <w:szCs w:val="32"/>
          <w:shd w:val="clear" w:fill="FFFFFF"/>
          <w:lang w:val="en-US" w:eastAsia="zh-CN" w:bidi="ar"/>
        </w:rPr>
        <w:tab/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年末全市常住人口39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0.06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万人，城镇化率为6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7.31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%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；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户籍人口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377.23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万人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全市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全体常住居民人均可支配收入42714元，比上年增长5.4%；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城镇常住居民人均可支配收入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50874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元，增长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4.8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%；农村常住居民人均可支配收入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27524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元，增长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5.9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全市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全体常住居民人均消费支出28385元，比上年增长4.2%；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城镇常住居民人均消费支出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31977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元，增长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3.4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%；农村常住居民人均消费支出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21621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元，增长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4.5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年末全市参加城镇基本养老保险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150.57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万人，其中参保职工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98.88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万人，参保离退休人员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51.69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万人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。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参加失业保险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61.41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万人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，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参加工伤保险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79.65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万人。参加基本医疗保险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373.10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万人，其中职工医疗保险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117.69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万人，城乡居民医疗保险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255.41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万人。参加生育保险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65.31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万人。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年末全市享受最低生活保障居民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8.41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万人，其中城市最低生活保障居民1.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26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万人，农村最低生活保障居民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7.16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万人。养老服务床位数3.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85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万张。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7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yellow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/>
          <w:kern w:val="0"/>
          <w:sz w:val="32"/>
          <w:szCs w:val="32"/>
          <w:shd w:val="clear" w:fill="FFFFFF"/>
          <w:lang w:val="en-US" w:eastAsia="zh-CN" w:bidi="ar"/>
        </w:rPr>
        <w:t>十二、资源环境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全市单位GDP能耗继续保持下降。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年末全市有矿产资源91种，其中已开发利用矿种45种。全市有国家级、省级自然保护区6个。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7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全市生态环境质量总体保持稳定。地表水河流水质总体为“优”，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集中式饮用水源地水质持续100%稳定达标；湖泊水质总体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为“Ⅳ类”保持稳定</w:t>
      </w:r>
      <w:r>
        <w:rPr>
          <w:rFonts w:hint="default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。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主城区环境空气质量总体稳中向好，优</w:t>
      </w:r>
      <w:r>
        <w:rPr>
          <w:rFonts w:hint="eastAsia" w:ascii="仿宋_GB2312" w:hAnsi="宋体" w:eastAsia="仿宋_GB2312" w:cs="宋体"/>
          <w:b w:val="0"/>
          <w:color w:val="auto"/>
          <w:spacing w:val="11"/>
          <w:kern w:val="0"/>
          <w:sz w:val="32"/>
          <w:szCs w:val="32"/>
          <w:shd w:val="clear" w:fill="FFFFFF"/>
          <w:lang w:val="en-US" w:eastAsia="zh-CN" w:bidi="ar"/>
        </w:rPr>
        <w:t>良天数比例为88.8%，比上年提升4.4个百分点；</w:t>
      </w:r>
      <w:r>
        <w:rPr>
          <w:rFonts w:hint="eastAsia" w:ascii="仿宋_GB2312" w:hAnsi="仿宋_GB2312" w:eastAsia="仿宋_GB2312" w:cs="仿宋_GB2312"/>
          <w:b w:val="0"/>
          <w:color w:val="auto"/>
          <w:spacing w:val="11"/>
          <w:kern w:val="0"/>
          <w:sz w:val="32"/>
          <w:szCs w:val="32"/>
          <w:shd w:val="clear" w:fill="FFFFFF"/>
          <w:lang w:val="en-US" w:eastAsia="zh-CN" w:bidi="ar"/>
        </w:rPr>
        <w:t>PM</w:t>
      </w:r>
      <w:r>
        <w:rPr>
          <w:rFonts w:hint="eastAsia" w:ascii="Times New Roman" w:hAnsi="Times New Roman" w:eastAsia="仿宋_GB2312" w:cs="Times New Roman"/>
          <w:b w:val="0"/>
          <w:color w:val="auto"/>
          <w:spacing w:val="11"/>
          <w:kern w:val="0"/>
          <w:sz w:val="32"/>
          <w:szCs w:val="32"/>
          <w:shd w:val="clear" w:fill="FFFFFF"/>
          <w:vertAlign w:val="subscript"/>
          <w:lang w:val="en-US" w:eastAsia="zh-CN" w:bidi="ar"/>
        </w:rPr>
        <w:t>2.5</w:t>
      </w:r>
      <w:r>
        <w:rPr>
          <w:rFonts w:hint="eastAsia" w:ascii="仿宋_GB2312" w:hAnsi="宋体" w:eastAsia="仿宋_GB2312" w:cs="宋体"/>
          <w:b w:val="0"/>
          <w:color w:val="auto"/>
          <w:spacing w:val="11"/>
          <w:kern w:val="0"/>
          <w:sz w:val="32"/>
          <w:szCs w:val="32"/>
          <w:shd w:val="clear" w:fill="FFFFFF"/>
          <w:lang w:val="en-US" w:eastAsia="zh-CN" w:bidi="ar"/>
        </w:rPr>
        <w:t>浓度为35</w:t>
      </w:r>
      <w:r>
        <w:rPr>
          <w:rFonts w:hint="eastAsia" w:ascii="仿宋_GB2312" w:hAnsi="宋体" w:eastAsia="仿宋_GB2312" w:cs="宋体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微克/立方米，比上年下降5.4%；环境空气质量综合指数下降6.4%。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313" w:beforeLines="100" w:beforeAutospacing="0" w:after="0" w:afterAutospacing="0" w:line="5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  <w:t>注：1.本公报2025年数据为初步统计数据。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40" w:lineRule="exact"/>
        <w:ind w:left="1260" w:leftChars="600" w:right="0" w:rightChars="0" w:firstLine="11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  <w:t>2.地区生产总值、各产业增加值绝对数为现价，增长速度按不变价格计算。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  <w:t>资料来源：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="0" w:afterAutospacing="0" w:line="540" w:lineRule="exact"/>
        <w:ind w:left="1260" w:leftChars="60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  <w:t>本公报中城镇新增就业、养老保险、工伤保险、失业保险等数据来自市人力资源和社会保障局；水产品产量来自市农业农村局；外贸进出口、实际使用外资、对外经济合作等数据来自市商务局；旅游人数、旅游总收入、A级景区、星级饭店、公共图书馆、博物馆、文化艺术事业机构、剧场剧院、体育等数据来自市文化和旅游局；公路里程、货运量、货物周转量、客运量、旅客周转量等数据来自市交通运输局；邮政行业业务总量、快递业务量等数据来自市邮政管理局；电信业务收入、电话用户、5G用户覆盖率等数据来自中国电信股份有限公司宜昌分公司、中国联通宜昌分公司、中国移动通信公司宜昌分公司；财政数据来自市财政局；金融数据来自人民银行宜昌市中心支行；保费数据来自国家金融监督管理总局宜昌监管分局；教育数据来自市教育局；卫生机构、床位、人员等数据来自市卫生健康委员会；低保数据来自市民政局；户籍人口、民用汽车拥有量、私人汽车拥有量等数据来自市公安局；医疗保险、生育保险数据来自市医疗保障局；工程技术研究中心、重要科技成果等数据来自市科技局；经营主体、专利申请授权量等数据来自市市场监督管理局；矿产资源等数据来自市自然资源和城乡建设局；生态环境、环境监测等数据来自市生态环境局；价格、粮食、畜禽、城乡居民收支等数据来自国家统计局宜昌调查队；用电量数据来自市供电公司；其他数据均来自市统计局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158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spacing w:line="2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footerReference r:id="rId4" w:type="default"/>
      <w:pgSz w:w="11906" w:h="16838"/>
      <w:pgMar w:top="2098" w:right="147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697586"/>
    <w:rsid w:val="00641CB5"/>
    <w:rsid w:val="006921F8"/>
    <w:rsid w:val="011E6C85"/>
    <w:rsid w:val="01AC2015"/>
    <w:rsid w:val="02384A78"/>
    <w:rsid w:val="02440603"/>
    <w:rsid w:val="03A677C2"/>
    <w:rsid w:val="03ED6CE9"/>
    <w:rsid w:val="03F05B98"/>
    <w:rsid w:val="049554E0"/>
    <w:rsid w:val="04B55425"/>
    <w:rsid w:val="04C72C73"/>
    <w:rsid w:val="050C71AF"/>
    <w:rsid w:val="059F023F"/>
    <w:rsid w:val="062A71DC"/>
    <w:rsid w:val="062C4E8B"/>
    <w:rsid w:val="0687721C"/>
    <w:rsid w:val="07601F5A"/>
    <w:rsid w:val="082007E9"/>
    <w:rsid w:val="083D65C2"/>
    <w:rsid w:val="08411B0F"/>
    <w:rsid w:val="085B6514"/>
    <w:rsid w:val="08C412F3"/>
    <w:rsid w:val="08D240D5"/>
    <w:rsid w:val="08D87321"/>
    <w:rsid w:val="08FFFCD1"/>
    <w:rsid w:val="093177ED"/>
    <w:rsid w:val="096E105E"/>
    <w:rsid w:val="09A82011"/>
    <w:rsid w:val="09D30528"/>
    <w:rsid w:val="09FE7898"/>
    <w:rsid w:val="0A154E7F"/>
    <w:rsid w:val="0AC22AFC"/>
    <w:rsid w:val="0ADC4600"/>
    <w:rsid w:val="0B7CC636"/>
    <w:rsid w:val="0B931694"/>
    <w:rsid w:val="0BA46730"/>
    <w:rsid w:val="0BD77CCC"/>
    <w:rsid w:val="0BFFCA47"/>
    <w:rsid w:val="0C4F538B"/>
    <w:rsid w:val="0C682C44"/>
    <w:rsid w:val="0C6C66B5"/>
    <w:rsid w:val="0CC148CA"/>
    <w:rsid w:val="0CDF66D8"/>
    <w:rsid w:val="0DFB9809"/>
    <w:rsid w:val="0DFE791C"/>
    <w:rsid w:val="0E385457"/>
    <w:rsid w:val="0E394DFE"/>
    <w:rsid w:val="0E3F3DD7"/>
    <w:rsid w:val="0ED7670A"/>
    <w:rsid w:val="0EF95B43"/>
    <w:rsid w:val="0F3421EB"/>
    <w:rsid w:val="0FA11296"/>
    <w:rsid w:val="0FAF98A1"/>
    <w:rsid w:val="0FBF442A"/>
    <w:rsid w:val="0FD7EDA2"/>
    <w:rsid w:val="0FE8C04B"/>
    <w:rsid w:val="0FEC792E"/>
    <w:rsid w:val="0FEFE980"/>
    <w:rsid w:val="0FFBDBB6"/>
    <w:rsid w:val="10925414"/>
    <w:rsid w:val="109A0A48"/>
    <w:rsid w:val="11AD5817"/>
    <w:rsid w:val="11F02C93"/>
    <w:rsid w:val="12915EBB"/>
    <w:rsid w:val="12AF37F8"/>
    <w:rsid w:val="12D844DA"/>
    <w:rsid w:val="12DE08B4"/>
    <w:rsid w:val="12DF14BB"/>
    <w:rsid w:val="12FFA591"/>
    <w:rsid w:val="133F8478"/>
    <w:rsid w:val="139D5E69"/>
    <w:rsid w:val="139E27C4"/>
    <w:rsid w:val="13A7713C"/>
    <w:rsid w:val="13C82DCC"/>
    <w:rsid w:val="13EDF4C1"/>
    <w:rsid w:val="13EE75BB"/>
    <w:rsid w:val="13F63362"/>
    <w:rsid w:val="13F78C01"/>
    <w:rsid w:val="14283FB7"/>
    <w:rsid w:val="145CCBB3"/>
    <w:rsid w:val="145E0BE3"/>
    <w:rsid w:val="148732B5"/>
    <w:rsid w:val="14C77E27"/>
    <w:rsid w:val="14E5768D"/>
    <w:rsid w:val="14F323C8"/>
    <w:rsid w:val="154FF783"/>
    <w:rsid w:val="15732679"/>
    <w:rsid w:val="15B62240"/>
    <w:rsid w:val="15CE7ECF"/>
    <w:rsid w:val="15F04DF7"/>
    <w:rsid w:val="160C1DC9"/>
    <w:rsid w:val="162A1F24"/>
    <w:rsid w:val="165A2773"/>
    <w:rsid w:val="16761120"/>
    <w:rsid w:val="169D3ADE"/>
    <w:rsid w:val="16F7C333"/>
    <w:rsid w:val="16FB1705"/>
    <w:rsid w:val="170620E1"/>
    <w:rsid w:val="172E1691"/>
    <w:rsid w:val="1757342C"/>
    <w:rsid w:val="17B30A0E"/>
    <w:rsid w:val="17DE9280"/>
    <w:rsid w:val="17FF38F8"/>
    <w:rsid w:val="18367E3A"/>
    <w:rsid w:val="1842045F"/>
    <w:rsid w:val="18510308"/>
    <w:rsid w:val="18D71380"/>
    <w:rsid w:val="19634179"/>
    <w:rsid w:val="198723D8"/>
    <w:rsid w:val="19CD2B39"/>
    <w:rsid w:val="19E7EA1C"/>
    <w:rsid w:val="19FC0DA1"/>
    <w:rsid w:val="19FF3AF2"/>
    <w:rsid w:val="1A042BFD"/>
    <w:rsid w:val="1A065FAE"/>
    <w:rsid w:val="1A7FE095"/>
    <w:rsid w:val="1B6D2E38"/>
    <w:rsid w:val="1B924DB0"/>
    <w:rsid w:val="1BA048CC"/>
    <w:rsid w:val="1BC85FF7"/>
    <w:rsid w:val="1BFAF410"/>
    <w:rsid w:val="1BFE80F3"/>
    <w:rsid w:val="1C2857BA"/>
    <w:rsid w:val="1CD812F2"/>
    <w:rsid w:val="1D235206"/>
    <w:rsid w:val="1D67BD7B"/>
    <w:rsid w:val="1D6D26EC"/>
    <w:rsid w:val="1D7C200A"/>
    <w:rsid w:val="1D99A5C8"/>
    <w:rsid w:val="1DBFC019"/>
    <w:rsid w:val="1DC715D6"/>
    <w:rsid w:val="1DDB4ED7"/>
    <w:rsid w:val="1DE7F995"/>
    <w:rsid w:val="1DFD0F40"/>
    <w:rsid w:val="1E235CC3"/>
    <w:rsid w:val="1E432BE2"/>
    <w:rsid w:val="1E4416CB"/>
    <w:rsid w:val="1E4442DD"/>
    <w:rsid w:val="1E5F0965"/>
    <w:rsid w:val="1E6FC9C1"/>
    <w:rsid w:val="1E806E2E"/>
    <w:rsid w:val="1ED7018D"/>
    <w:rsid w:val="1EF5AA9D"/>
    <w:rsid w:val="1EF97283"/>
    <w:rsid w:val="1F2E75C5"/>
    <w:rsid w:val="1F72506D"/>
    <w:rsid w:val="1F772DD8"/>
    <w:rsid w:val="1F9F7C5C"/>
    <w:rsid w:val="1FA604CE"/>
    <w:rsid w:val="1FCDC75A"/>
    <w:rsid w:val="1FD5C5E7"/>
    <w:rsid w:val="1FD7B8B2"/>
    <w:rsid w:val="1FDD6C68"/>
    <w:rsid w:val="1FE5D54F"/>
    <w:rsid w:val="1FF77E4C"/>
    <w:rsid w:val="20240F8B"/>
    <w:rsid w:val="20A53730"/>
    <w:rsid w:val="20C3727D"/>
    <w:rsid w:val="20E56273"/>
    <w:rsid w:val="212815AE"/>
    <w:rsid w:val="21B13C52"/>
    <w:rsid w:val="21CB7681"/>
    <w:rsid w:val="22465F3D"/>
    <w:rsid w:val="226B2010"/>
    <w:rsid w:val="22B269EC"/>
    <w:rsid w:val="22DD5B3A"/>
    <w:rsid w:val="231F2AC7"/>
    <w:rsid w:val="23441B48"/>
    <w:rsid w:val="23AB2104"/>
    <w:rsid w:val="23B50A49"/>
    <w:rsid w:val="23EC40C8"/>
    <w:rsid w:val="23F789B3"/>
    <w:rsid w:val="24786AE6"/>
    <w:rsid w:val="247FA751"/>
    <w:rsid w:val="24DEC4D1"/>
    <w:rsid w:val="257FA295"/>
    <w:rsid w:val="257FA85B"/>
    <w:rsid w:val="258C1C31"/>
    <w:rsid w:val="25F37C1B"/>
    <w:rsid w:val="25F7A706"/>
    <w:rsid w:val="264B5483"/>
    <w:rsid w:val="268447D6"/>
    <w:rsid w:val="26FBB0D1"/>
    <w:rsid w:val="270F8861"/>
    <w:rsid w:val="272727D4"/>
    <w:rsid w:val="2756786F"/>
    <w:rsid w:val="275E9C45"/>
    <w:rsid w:val="27A27C4D"/>
    <w:rsid w:val="27B3D6F4"/>
    <w:rsid w:val="27D97D30"/>
    <w:rsid w:val="27DF83D2"/>
    <w:rsid w:val="27FBBC34"/>
    <w:rsid w:val="27FFA6C4"/>
    <w:rsid w:val="285C0CF9"/>
    <w:rsid w:val="29055271"/>
    <w:rsid w:val="290D6E21"/>
    <w:rsid w:val="299B49AC"/>
    <w:rsid w:val="29AE67FF"/>
    <w:rsid w:val="29B27C50"/>
    <w:rsid w:val="29BC120D"/>
    <w:rsid w:val="29EB53BC"/>
    <w:rsid w:val="29F1063A"/>
    <w:rsid w:val="29F55305"/>
    <w:rsid w:val="2A47108B"/>
    <w:rsid w:val="2A5013FE"/>
    <w:rsid w:val="2A563A56"/>
    <w:rsid w:val="2A5B12B9"/>
    <w:rsid w:val="2AD74A9F"/>
    <w:rsid w:val="2B2F20D7"/>
    <w:rsid w:val="2B3354C6"/>
    <w:rsid w:val="2B33A186"/>
    <w:rsid w:val="2B3E3B65"/>
    <w:rsid w:val="2B884523"/>
    <w:rsid w:val="2BAB04DA"/>
    <w:rsid w:val="2BAD259B"/>
    <w:rsid w:val="2BB2484A"/>
    <w:rsid w:val="2BF73539"/>
    <w:rsid w:val="2C116D96"/>
    <w:rsid w:val="2C3A7C73"/>
    <w:rsid w:val="2CB21EEE"/>
    <w:rsid w:val="2CB765B3"/>
    <w:rsid w:val="2CFF5EA8"/>
    <w:rsid w:val="2DD76A41"/>
    <w:rsid w:val="2DFAEDE9"/>
    <w:rsid w:val="2DFF829F"/>
    <w:rsid w:val="2E2FE5F8"/>
    <w:rsid w:val="2E4762AD"/>
    <w:rsid w:val="2E7F0D98"/>
    <w:rsid w:val="2EB33D36"/>
    <w:rsid w:val="2EBE2950"/>
    <w:rsid w:val="2EDDC576"/>
    <w:rsid w:val="2EF87BBA"/>
    <w:rsid w:val="2F0F55F3"/>
    <w:rsid w:val="2F3F8EDC"/>
    <w:rsid w:val="2F773FAE"/>
    <w:rsid w:val="2F791A52"/>
    <w:rsid w:val="2F7C11D6"/>
    <w:rsid w:val="2F95E675"/>
    <w:rsid w:val="2FA97A09"/>
    <w:rsid w:val="2FB100D2"/>
    <w:rsid w:val="2FBC0CA1"/>
    <w:rsid w:val="2FBE1118"/>
    <w:rsid w:val="2FBF5B6C"/>
    <w:rsid w:val="2FC44230"/>
    <w:rsid w:val="2FDF8DE2"/>
    <w:rsid w:val="2FDFBC5E"/>
    <w:rsid w:val="2FE1CDA6"/>
    <w:rsid w:val="2FEF170F"/>
    <w:rsid w:val="2FEF87F0"/>
    <w:rsid w:val="2FFE9618"/>
    <w:rsid w:val="2FFF115A"/>
    <w:rsid w:val="301723D7"/>
    <w:rsid w:val="30410590"/>
    <w:rsid w:val="30783A5F"/>
    <w:rsid w:val="30A5692F"/>
    <w:rsid w:val="30C70AF2"/>
    <w:rsid w:val="30C9075F"/>
    <w:rsid w:val="30F5197E"/>
    <w:rsid w:val="30FD0967"/>
    <w:rsid w:val="31272A8C"/>
    <w:rsid w:val="313871DC"/>
    <w:rsid w:val="3151477D"/>
    <w:rsid w:val="31575AE1"/>
    <w:rsid w:val="317EC846"/>
    <w:rsid w:val="323F4557"/>
    <w:rsid w:val="32DF6CA2"/>
    <w:rsid w:val="32E05911"/>
    <w:rsid w:val="32E71BAF"/>
    <w:rsid w:val="33045519"/>
    <w:rsid w:val="334D3EC7"/>
    <w:rsid w:val="33784B50"/>
    <w:rsid w:val="33896266"/>
    <w:rsid w:val="33AC79F9"/>
    <w:rsid w:val="33AF084A"/>
    <w:rsid w:val="33BBAACE"/>
    <w:rsid w:val="33CCC9C5"/>
    <w:rsid w:val="33E66BF9"/>
    <w:rsid w:val="33FE5B77"/>
    <w:rsid w:val="34F31028"/>
    <w:rsid w:val="34FD28FA"/>
    <w:rsid w:val="353B0B05"/>
    <w:rsid w:val="35A31E48"/>
    <w:rsid w:val="35BE987E"/>
    <w:rsid w:val="35FD648D"/>
    <w:rsid w:val="35FF43D3"/>
    <w:rsid w:val="35FF994C"/>
    <w:rsid w:val="36052CF1"/>
    <w:rsid w:val="3618232A"/>
    <w:rsid w:val="363A34CF"/>
    <w:rsid w:val="3680697A"/>
    <w:rsid w:val="36996D1C"/>
    <w:rsid w:val="36DF7EC1"/>
    <w:rsid w:val="36F5C564"/>
    <w:rsid w:val="36F9C091"/>
    <w:rsid w:val="36FC7E77"/>
    <w:rsid w:val="375301F6"/>
    <w:rsid w:val="376B153E"/>
    <w:rsid w:val="377FBAD5"/>
    <w:rsid w:val="37932FA7"/>
    <w:rsid w:val="37BFF339"/>
    <w:rsid w:val="37CD3343"/>
    <w:rsid w:val="37D8842E"/>
    <w:rsid w:val="37DC84A5"/>
    <w:rsid w:val="37E7472A"/>
    <w:rsid w:val="37EF1396"/>
    <w:rsid w:val="37EFFA87"/>
    <w:rsid w:val="37F2769F"/>
    <w:rsid w:val="37F4C9E2"/>
    <w:rsid w:val="37FF463C"/>
    <w:rsid w:val="37FF4ADB"/>
    <w:rsid w:val="37FFF399"/>
    <w:rsid w:val="385B64FE"/>
    <w:rsid w:val="387C05D6"/>
    <w:rsid w:val="38B53B9F"/>
    <w:rsid w:val="38C82D1F"/>
    <w:rsid w:val="38CCC625"/>
    <w:rsid w:val="38F712F4"/>
    <w:rsid w:val="39337096"/>
    <w:rsid w:val="39BF7F5B"/>
    <w:rsid w:val="39DD4D43"/>
    <w:rsid w:val="39EF0B6E"/>
    <w:rsid w:val="39FEE2A4"/>
    <w:rsid w:val="39FFA1C8"/>
    <w:rsid w:val="3A0F6981"/>
    <w:rsid w:val="3A7E2783"/>
    <w:rsid w:val="3A875F6A"/>
    <w:rsid w:val="3ADD1604"/>
    <w:rsid w:val="3B14D69D"/>
    <w:rsid w:val="3B4F7FBA"/>
    <w:rsid w:val="3B7006C1"/>
    <w:rsid w:val="3B7A3591"/>
    <w:rsid w:val="3B7DC238"/>
    <w:rsid w:val="3B7EFA9E"/>
    <w:rsid w:val="3B7F0BAF"/>
    <w:rsid w:val="3B7F69A7"/>
    <w:rsid w:val="3B7F983D"/>
    <w:rsid w:val="3B8ECF9A"/>
    <w:rsid w:val="3BCD4254"/>
    <w:rsid w:val="3BD567E0"/>
    <w:rsid w:val="3BDFC9ED"/>
    <w:rsid w:val="3BED1077"/>
    <w:rsid w:val="3BF34FEB"/>
    <w:rsid w:val="3BFA01B9"/>
    <w:rsid w:val="3BFF0357"/>
    <w:rsid w:val="3BFF5FB0"/>
    <w:rsid w:val="3BFFEE89"/>
    <w:rsid w:val="3C3F9DB9"/>
    <w:rsid w:val="3C4135AE"/>
    <w:rsid w:val="3C416333"/>
    <w:rsid w:val="3C56CDF6"/>
    <w:rsid w:val="3C66CBF6"/>
    <w:rsid w:val="3C7ECA6A"/>
    <w:rsid w:val="3C9F34A6"/>
    <w:rsid w:val="3CB586CE"/>
    <w:rsid w:val="3CE75508"/>
    <w:rsid w:val="3CFF8E88"/>
    <w:rsid w:val="3D16358E"/>
    <w:rsid w:val="3D1F7777"/>
    <w:rsid w:val="3D3ED27C"/>
    <w:rsid w:val="3D5F5A8D"/>
    <w:rsid w:val="3D679B25"/>
    <w:rsid w:val="3D77D0B1"/>
    <w:rsid w:val="3D7FB43D"/>
    <w:rsid w:val="3D8833F3"/>
    <w:rsid w:val="3DB52991"/>
    <w:rsid w:val="3DC92C45"/>
    <w:rsid w:val="3DD03AB0"/>
    <w:rsid w:val="3DDBE371"/>
    <w:rsid w:val="3DDF0CE6"/>
    <w:rsid w:val="3DDF8E3B"/>
    <w:rsid w:val="3DEDFEDF"/>
    <w:rsid w:val="3DFD044C"/>
    <w:rsid w:val="3DFF85EE"/>
    <w:rsid w:val="3DFF9F6D"/>
    <w:rsid w:val="3E2A7ACB"/>
    <w:rsid w:val="3E3CF8B1"/>
    <w:rsid w:val="3E774C6B"/>
    <w:rsid w:val="3E8763DA"/>
    <w:rsid w:val="3EB17850"/>
    <w:rsid w:val="3EBE7AC6"/>
    <w:rsid w:val="3EBFC62B"/>
    <w:rsid w:val="3EDF06F7"/>
    <w:rsid w:val="3EDF963F"/>
    <w:rsid w:val="3EFD77DE"/>
    <w:rsid w:val="3EFF2B70"/>
    <w:rsid w:val="3EFF9245"/>
    <w:rsid w:val="3EFFD574"/>
    <w:rsid w:val="3F2F2473"/>
    <w:rsid w:val="3F3FE03C"/>
    <w:rsid w:val="3F5934D4"/>
    <w:rsid w:val="3F5B495D"/>
    <w:rsid w:val="3F5F1FAD"/>
    <w:rsid w:val="3F5F8704"/>
    <w:rsid w:val="3F5FD8EB"/>
    <w:rsid w:val="3F6F5349"/>
    <w:rsid w:val="3F7BBAFD"/>
    <w:rsid w:val="3F7CAFF1"/>
    <w:rsid w:val="3F7E8C3E"/>
    <w:rsid w:val="3F7F2DDD"/>
    <w:rsid w:val="3F7F3886"/>
    <w:rsid w:val="3FAEEBE4"/>
    <w:rsid w:val="3FBE403C"/>
    <w:rsid w:val="3FBF3952"/>
    <w:rsid w:val="3FBF7D69"/>
    <w:rsid w:val="3FCE1443"/>
    <w:rsid w:val="3FD53F6D"/>
    <w:rsid w:val="3FD5F610"/>
    <w:rsid w:val="3FDB0BE0"/>
    <w:rsid w:val="3FDF3474"/>
    <w:rsid w:val="3FDF9980"/>
    <w:rsid w:val="3FDFB12E"/>
    <w:rsid w:val="3FE49FB2"/>
    <w:rsid w:val="3FE7E154"/>
    <w:rsid w:val="3FE9296A"/>
    <w:rsid w:val="3FEA9F8F"/>
    <w:rsid w:val="3FED802A"/>
    <w:rsid w:val="3FEFA8C1"/>
    <w:rsid w:val="3FF24B77"/>
    <w:rsid w:val="3FF382E6"/>
    <w:rsid w:val="3FF38A15"/>
    <w:rsid w:val="3FF741D9"/>
    <w:rsid w:val="3FFA951F"/>
    <w:rsid w:val="3FFAE890"/>
    <w:rsid w:val="3FFD46E6"/>
    <w:rsid w:val="3FFD7B84"/>
    <w:rsid w:val="3FFDA271"/>
    <w:rsid w:val="3FFF5D5E"/>
    <w:rsid w:val="3FFFBA92"/>
    <w:rsid w:val="3FFFD1E6"/>
    <w:rsid w:val="405451DA"/>
    <w:rsid w:val="407862FD"/>
    <w:rsid w:val="41543DC1"/>
    <w:rsid w:val="41BA6EE5"/>
    <w:rsid w:val="41BB09B6"/>
    <w:rsid w:val="425A0D45"/>
    <w:rsid w:val="425E592D"/>
    <w:rsid w:val="42C134AE"/>
    <w:rsid w:val="436E6142"/>
    <w:rsid w:val="43C31571"/>
    <w:rsid w:val="43D0110B"/>
    <w:rsid w:val="43EF5ECD"/>
    <w:rsid w:val="444414A0"/>
    <w:rsid w:val="447A66FA"/>
    <w:rsid w:val="45671049"/>
    <w:rsid w:val="45BEA371"/>
    <w:rsid w:val="45FF5592"/>
    <w:rsid w:val="46375635"/>
    <w:rsid w:val="46BA64EC"/>
    <w:rsid w:val="46DF3C09"/>
    <w:rsid w:val="47F5D831"/>
    <w:rsid w:val="47FF5EB7"/>
    <w:rsid w:val="48085EBA"/>
    <w:rsid w:val="489E5BAB"/>
    <w:rsid w:val="48C82E1F"/>
    <w:rsid w:val="48F31A36"/>
    <w:rsid w:val="493B509F"/>
    <w:rsid w:val="497723BA"/>
    <w:rsid w:val="49AF02CD"/>
    <w:rsid w:val="4A542C75"/>
    <w:rsid w:val="4AD9DFB8"/>
    <w:rsid w:val="4AF46309"/>
    <w:rsid w:val="4AFF1E8A"/>
    <w:rsid w:val="4AFFECF8"/>
    <w:rsid w:val="4B7F7852"/>
    <w:rsid w:val="4B883B4B"/>
    <w:rsid w:val="4B88501A"/>
    <w:rsid w:val="4B960BC3"/>
    <w:rsid w:val="4BDFF051"/>
    <w:rsid w:val="4BE839A3"/>
    <w:rsid w:val="4BEF9CFD"/>
    <w:rsid w:val="4C3C4E4C"/>
    <w:rsid w:val="4C6257CC"/>
    <w:rsid w:val="4C750186"/>
    <w:rsid w:val="4CD61124"/>
    <w:rsid w:val="4CFFB7A9"/>
    <w:rsid w:val="4D0C170B"/>
    <w:rsid w:val="4D5C5505"/>
    <w:rsid w:val="4D724738"/>
    <w:rsid w:val="4D777319"/>
    <w:rsid w:val="4D7C3A2F"/>
    <w:rsid w:val="4D9103A3"/>
    <w:rsid w:val="4DE9472D"/>
    <w:rsid w:val="4DFE9D1A"/>
    <w:rsid w:val="4DFEF4FF"/>
    <w:rsid w:val="4DFFB378"/>
    <w:rsid w:val="4E5F2E6D"/>
    <w:rsid w:val="4E73667F"/>
    <w:rsid w:val="4EA21CB0"/>
    <w:rsid w:val="4ECE8873"/>
    <w:rsid w:val="4EEF0CBD"/>
    <w:rsid w:val="4EFF096F"/>
    <w:rsid w:val="4EFFD330"/>
    <w:rsid w:val="4F054435"/>
    <w:rsid w:val="4F39B828"/>
    <w:rsid w:val="4F61F260"/>
    <w:rsid w:val="4F717247"/>
    <w:rsid w:val="4F778429"/>
    <w:rsid w:val="4F7ECA77"/>
    <w:rsid w:val="4F8E3996"/>
    <w:rsid w:val="4F9FF19A"/>
    <w:rsid w:val="4FA0698F"/>
    <w:rsid w:val="4FBE2AE4"/>
    <w:rsid w:val="4FBF40C2"/>
    <w:rsid w:val="4FBF91AB"/>
    <w:rsid w:val="4FDA618A"/>
    <w:rsid w:val="4FF76D98"/>
    <w:rsid w:val="4FF940EE"/>
    <w:rsid w:val="4FF9A471"/>
    <w:rsid w:val="4FFD60EF"/>
    <w:rsid w:val="4FFDA0FF"/>
    <w:rsid w:val="50431FAB"/>
    <w:rsid w:val="504A3487"/>
    <w:rsid w:val="50E5118C"/>
    <w:rsid w:val="51121C80"/>
    <w:rsid w:val="51671485"/>
    <w:rsid w:val="516FA45A"/>
    <w:rsid w:val="519001C9"/>
    <w:rsid w:val="519541CE"/>
    <w:rsid w:val="51F670D7"/>
    <w:rsid w:val="51F79DCA"/>
    <w:rsid w:val="51FED7AB"/>
    <w:rsid w:val="5212073D"/>
    <w:rsid w:val="522761CB"/>
    <w:rsid w:val="52333C65"/>
    <w:rsid w:val="52AF1BFF"/>
    <w:rsid w:val="532B34A5"/>
    <w:rsid w:val="5339E1CC"/>
    <w:rsid w:val="533F731D"/>
    <w:rsid w:val="53F1CAFB"/>
    <w:rsid w:val="54776784"/>
    <w:rsid w:val="547D8CDE"/>
    <w:rsid w:val="54A434C3"/>
    <w:rsid w:val="54E01D43"/>
    <w:rsid w:val="54E4408C"/>
    <w:rsid w:val="550D1EB3"/>
    <w:rsid w:val="555B1730"/>
    <w:rsid w:val="557F3719"/>
    <w:rsid w:val="55AC2FA1"/>
    <w:rsid w:val="55B626C7"/>
    <w:rsid w:val="55B7448B"/>
    <w:rsid w:val="55BEB1EE"/>
    <w:rsid w:val="55C7644E"/>
    <w:rsid w:val="55D7709F"/>
    <w:rsid w:val="55DD654A"/>
    <w:rsid w:val="55DDA567"/>
    <w:rsid w:val="55E96C9F"/>
    <w:rsid w:val="55FD7B15"/>
    <w:rsid w:val="561D319E"/>
    <w:rsid w:val="5673428F"/>
    <w:rsid w:val="56821EF1"/>
    <w:rsid w:val="568B19A3"/>
    <w:rsid w:val="56976691"/>
    <w:rsid w:val="56CA29E4"/>
    <w:rsid w:val="56CF1F3B"/>
    <w:rsid w:val="56D60657"/>
    <w:rsid w:val="56DF6FD8"/>
    <w:rsid w:val="5718559F"/>
    <w:rsid w:val="577A8F0C"/>
    <w:rsid w:val="579AE0DE"/>
    <w:rsid w:val="579D47D5"/>
    <w:rsid w:val="579FE260"/>
    <w:rsid w:val="57AD5BBD"/>
    <w:rsid w:val="57B15D52"/>
    <w:rsid w:val="57B807A5"/>
    <w:rsid w:val="57BEE9E9"/>
    <w:rsid w:val="57BF066B"/>
    <w:rsid w:val="57BF5EF2"/>
    <w:rsid w:val="57DA72AC"/>
    <w:rsid w:val="57DB4B85"/>
    <w:rsid w:val="57EF0DE4"/>
    <w:rsid w:val="57F3FBDC"/>
    <w:rsid w:val="57F57C0B"/>
    <w:rsid w:val="57FDA1DD"/>
    <w:rsid w:val="57FFEC92"/>
    <w:rsid w:val="582C5C72"/>
    <w:rsid w:val="585F01F1"/>
    <w:rsid w:val="5867610B"/>
    <w:rsid w:val="586F04DC"/>
    <w:rsid w:val="588F04B9"/>
    <w:rsid w:val="58EF727B"/>
    <w:rsid w:val="58FBC6AC"/>
    <w:rsid w:val="59262141"/>
    <w:rsid w:val="59FF60FC"/>
    <w:rsid w:val="5A6DCD66"/>
    <w:rsid w:val="5A7F6AFB"/>
    <w:rsid w:val="5A8044E2"/>
    <w:rsid w:val="5ACD99DB"/>
    <w:rsid w:val="5AD56ECD"/>
    <w:rsid w:val="5AE31685"/>
    <w:rsid w:val="5B0E5F47"/>
    <w:rsid w:val="5B241C5F"/>
    <w:rsid w:val="5B33711E"/>
    <w:rsid w:val="5B3FA1C9"/>
    <w:rsid w:val="5B6FAE9A"/>
    <w:rsid w:val="5B7A921A"/>
    <w:rsid w:val="5B9A4C8E"/>
    <w:rsid w:val="5BBC2191"/>
    <w:rsid w:val="5BBD0E70"/>
    <w:rsid w:val="5BBDBC87"/>
    <w:rsid w:val="5BC36382"/>
    <w:rsid w:val="5BDE30BF"/>
    <w:rsid w:val="5BE91362"/>
    <w:rsid w:val="5BED3E1D"/>
    <w:rsid w:val="5BEDB5A5"/>
    <w:rsid w:val="5BF3EDBB"/>
    <w:rsid w:val="5BF77C8A"/>
    <w:rsid w:val="5BF78933"/>
    <w:rsid w:val="5BFE1527"/>
    <w:rsid w:val="5BFF02C3"/>
    <w:rsid w:val="5BFF7BD4"/>
    <w:rsid w:val="5BFFACA1"/>
    <w:rsid w:val="5C636FE1"/>
    <w:rsid w:val="5C641DCC"/>
    <w:rsid w:val="5C7AE25F"/>
    <w:rsid w:val="5C7B004D"/>
    <w:rsid w:val="5C7B057B"/>
    <w:rsid w:val="5C7EB91D"/>
    <w:rsid w:val="5C951750"/>
    <w:rsid w:val="5CDD3E38"/>
    <w:rsid w:val="5CEB604E"/>
    <w:rsid w:val="5CED6A0A"/>
    <w:rsid w:val="5CEDF43D"/>
    <w:rsid w:val="5D052F5F"/>
    <w:rsid w:val="5D58D832"/>
    <w:rsid w:val="5D5F8F4B"/>
    <w:rsid w:val="5D6C08FE"/>
    <w:rsid w:val="5D75EC48"/>
    <w:rsid w:val="5D763B77"/>
    <w:rsid w:val="5DA861F5"/>
    <w:rsid w:val="5DAA0F2B"/>
    <w:rsid w:val="5DBFA2C5"/>
    <w:rsid w:val="5DC2FB90"/>
    <w:rsid w:val="5DCFCC65"/>
    <w:rsid w:val="5DD03D68"/>
    <w:rsid w:val="5DDF9794"/>
    <w:rsid w:val="5DFB1A10"/>
    <w:rsid w:val="5DFF5E1E"/>
    <w:rsid w:val="5DFF8F1E"/>
    <w:rsid w:val="5E3D26D7"/>
    <w:rsid w:val="5E3F4029"/>
    <w:rsid w:val="5E3F8563"/>
    <w:rsid w:val="5E7C5135"/>
    <w:rsid w:val="5E8566E7"/>
    <w:rsid w:val="5E9516F6"/>
    <w:rsid w:val="5EC5304C"/>
    <w:rsid w:val="5EDF12EA"/>
    <w:rsid w:val="5EEAB2A9"/>
    <w:rsid w:val="5EEE4EFD"/>
    <w:rsid w:val="5EEF4D45"/>
    <w:rsid w:val="5EF56A86"/>
    <w:rsid w:val="5EFA7CCD"/>
    <w:rsid w:val="5EFC19DE"/>
    <w:rsid w:val="5EFEE8A7"/>
    <w:rsid w:val="5F370763"/>
    <w:rsid w:val="5F371C30"/>
    <w:rsid w:val="5F3BE8A2"/>
    <w:rsid w:val="5F5369FA"/>
    <w:rsid w:val="5F5A6398"/>
    <w:rsid w:val="5F5BE4CE"/>
    <w:rsid w:val="5F5C69C1"/>
    <w:rsid w:val="5F5FA6FF"/>
    <w:rsid w:val="5F607B7E"/>
    <w:rsid w:val="5F75579A"/>
    <w:rsid w:val="5F76D736"/>
    <w:rsid w:val="5F782221"/>
    <w:rsid w:val="5F7B3003"/>
    <w:rsid w:val="5F7D901B"/>
    <w:rsid w:val="5F7F1ADD"/>
    <w:rsid w:val="5F7F6C97"/>
    <w:rsid w:val="5F844D25"/>
    <w:rsid w:val="5F8F72FA"/>
    <w:rsid w:val="5F9CCEDC"/>
    <w:rsid w:val="5F9FA55D"/>
    <w:rsid w:val="5FAEF1BD"/>
    <w:rsid w:val="5FBCE523"/>
    <w:rsid w:val="5FBEE6F3"/>
    <w:rsid w:val="5FBF15FA"/>
    <w:rsid w:val="5FC86AD8"/>
    <w:rsid w:val="5FD2B588"/>
    <w:rsid w:val="5FD32210"/>
    <w:rsid w:val="5FD5797F"/>
    <w:rsid w:val="5FDAB36D"/>
    <w:rsid w:val="5FDC021F"/>
    <w:rsid w:val="5FDD406E"/>
    <w:rsid w:val="5FDFCE06"/>
    <w:rsid w:val="5FE71DC0"/>
    <w:rsid w:val="5FEF31EC"/>
    <w:rsid w:val="5FEFD670"/>
    <w:rsid w:val="5FF68691"/>
    <w:rsid w:val="5FF740E8"/>
    <w:rsid w:val="5FFB3621"/>
    <w:rsid w:val="5FFB5708"/>
    <w:rsid w:val="5FFC9418"/>
    <w:rsid w:val="5FFD358D"/>
    <w:rsid w:val="5FFD663D"/>
    <w:rsid w:val="5FFE3633"/>
    <w:rsid w:val="5FFF0A72"/>
    <w:rsid w:val="5FFF1288"/>
    <w:rsid w:val="60BA5FAD"/>
    <w:rsid w:val="60C91493"/>
    <w:rsid w:val="61212038"/>
    <w:rsid w:val="61C40553"/>
    <w:rsid w:val="61FBE2FC"/>
    <w:rsid w:val="620D230A"/>
    <w:rsid w:val="62BF2DEA"/>
    <w:rsid w:val="62CB69A6"/>
    <w:rsid w:val="62DF412A"/>
    <w:rsid w:val="630076D8"/>
    <w:rsid w:val="631E71CD"/>
    <w:rsid w:val="63407B58"/>
    <w:rsid w:val="63B3CB08"/>
    <w:rsid w:val="63E31BE7"/>
    <w:rsid w:val="63EDB2D2"/>
    <w:rsid w:val="63F52CC9"/>
    <w:rsid w:val="64587A4C"/>
    <w:rsid w:val="6476538B"/>
    <w:rsid w:val="64B06BD3"/>
    <w:rsid w:val="64F04A2B"/>
    <w:rsid w:val="651A23BE"/>
    <w:rsid w:val="65391B4E"/>
    <w:rsid w:val="65730F08"/>
    <w:rsid w:val="657D5DA1"/>
    <w:rsid w:val="65D01E64"/>
    <w:rsid w:val="66270F8B"/>
    <w:rsid w:val="665A0648"/>
    <w:rsid w:val="6677D2A3"/>
    <w:rsid w:val="66A2213F"/>
    <w:rsid w:val="66C15737"/>
    <w:rsid w:val="6761A332"/>
    <w:rsid w:val="6763E0F8"/>
    <w:rsid w:val="6777DE39"/>
    <w:rsid w:val="67B59420"/>
    <w:rsid w:val="67B67E5F"/>
    <w:rsid w:val="67E953B8"/>
    <w:rsid w:val="67F705D2"/>
    <w:rsid w:val="67FD3107"/>
    <w:rsid w:val="67FF7B9E"/>
    <w:rsid w:val="67FFB433"/>
    <w:rsid w:val="68153F88"/>
    <w:rsid w:val="683FBF0C"/>
    <w:rsid w:val="68676129"/>
    <w:rsid w:val="686E35E7"/>
    <w:rsid w:val="68EF48D0"/>
    <w:rsid w:val="68EF785B"/>
    <w:rsid w:val="68FB3672"/>
    <w:rsid w:val="69B3512C"/>
    <w:rsid w:val="69C47D1A"/>
    <w:rsid w:val="69DFA29B"/>
    <w:rsid w:val="69F757C4"/>
    <w:rsid w:val="69FD2459"/>
    <w:rsid w:val="6A6C912C"/>
    <w:rsid w:val="6AA5592C"/>
    <w:rsid w:val="6AAFB90D"/>
    <w:rsid w:val="6AC44BC6"/>
    <w:rsid w:val="6AC71DCE"/>
    <w:rsid w:val="6AF20531"/>
    <w:rsid w:val="6AFBF13D"/>
    <w:rsid w:val="6B0C43FD"/>
    <w:rsid w:val="6B754EC2"/>
    <w:rsid w:val="6B8B4438"/>
    <w:rsid w:val="6BAC428E"/>
    <w:rsid w:val="6BAE3542"/>
    <w:rsid w:val="6BB06AA3"/>
    <w:rsid w:val="6BBEC832"/>
    <w:rsid w:val="6BD10AB5"/>
    <w:rsid w:val="6BDF59DC"/>
    <w:rsid w:val="6BFFE581"/>
    <w:rsid w:val="6C7939FD"/>
    <w:rsid w:val="6CDEFD97"/>
    <w:rsid w:val="6CDFE765"/>
    <w:rsid w:val="6CFB1E4B"/>
    <w:rsid w:val="6CFCE921"/>
    <w:rsid w:val="6D32170A"/>
    <w:rsid w:val="6D5AD013"/>
    <w:rsid w:val="6D7AD8F6"/>
    <w:rsid w:val="6D7B5D31"/>
    <w:rsid w:val="6D7DF04B"/>
    <w:rsid w:val="6D7F7FB1"/>
    <w:rsid w:val="6DB1843E"/>
    <w:rsid w:val="6DB9C77C"/>
    <w:rsid w:val="6DBBB0DC"/>
    <w:rsid w:val="6DBE500A"/>
    <w:rsid w:val="6DDCE18F"/>
    <w:rsid w:val="6DDD79B3"/>
    <w:rsid w:val="6DDEA526"/>
    <w:rsid w:val="6DE73DB0"/>
    <w:rsid w:val="6DEEFE93"/>
    <w:rsid w:val="6DF7C547"/>
    <w:rsid w:val="6DFDAA32"/>
    <w:rsid w:val="6DFE74B7"/>
    <w:rsid w:val="6DFF9BBB"/>
    <w:rsid w:val="6E332F2E"/>
    <w:rsid w:val="6E39D2E3"/>
    <w:rsid w:val="6E5E3491"/>
    <w:rsid w:val="6E7F3F3C"/>
    <w:rsid w:val="6E7F4F39"/>
    <w:rsid w:val="6E840B51"/>
    <w:rsid w:val="6EDE23F6"/>
    <w:rsid w:val="6EDE6449"/>
    <w:rsid w:val="6EE52FCA"/>
    <w:rsid w:val="6EEFEA65"/>
    <w:rsid w:val="6EF77258"/>
    <w:rsid w:val="6EFB0A1A"/>
    <w:rsid w:val="6EFF6858"/>
    <w:rsid w:val="6EFFF22B"/>
    <w:rsid w:val="6F071219"/>
    <w:rsid w:val="6F2C60EE"/>
    <w:rsid w:val="6F2FA1FB"/>
    <w:rsid w:val="6F44EC88"/>
    <w:rsid w:val="6F4A7FD5"/>
    <w:rsid w:val="6F4F658F"/>
    <w:rsid w:val="6F4FF62A"/>
    <w:rsid w:val="6F733F16"/>
    <w:rsid w:val="6F74167B"/>
    <w:rsid w:val="6F794AAB"/>
    <w:rsid w:val="6F79B273"/>
    <w:rsid w:val="6F7B56CD"/>
    <w:rsid w:val="6F7D0979"/>
    <w:rsid w:val="6F7D1703"/>
    <w:rsid w:val="6F7F8E50"/>
    <w:rsid w:val="6F93023B"/>
    <w:rsid w:val="6F972084"/>
    <w:rsid w:val="6FA877AA"/>
    <w:rsid w:val="6FB56140"/>
    <w:rsid w:val="6FBE4E6E"/>
    <w:rsid w:val="6FBFC1CC"/>
    <w:rsid w:val="6FBFDE05"/>
    <w:rsid w:val="6FCF2F3B"/>
    <w:rsid w:val="6FDC51FD"/>
    <w:rsid w:val="6FDE0951"/>
    <w:rsid w:val="6FDF2036"/>
    <w:rsid w:val="6FDF4C46"/>
    <w:rsid w:val="6FDFD898"/>
    <w:rsid w:val="6FE676AB"/>
    <w:rsid w:val="6FE76BA4"/>
    <w:rsid w:val="6FEEBE0A"/>
    <w:rsid w:val="6FF2949C"/>
    <w:rsid w:val="6FFE3793"/>
    <w:rsid w:val="6FFF15CF"/>
    <w:rsid w:val="6FFFB089"/>
    <w:rsid w:val="6FFFCB07"/>
    <w:rsid w:val="704F2FE4"/>
    <w:rsid w:val="70874184"/>
    <w:rsid w:val="70D762D3"/>
    <w:rsid w:val="70FA4035"/>
    <w:rsid w:val="711E24B3"/>
    <w:rsid w:val="713F7BAE"/>
    <w:rsid w:val="717F8ADC"/>
    <w:rsid w:val="719C0A94"/>
    <w:rsid w:val="719F36DE"/>
    <w:rsid w:val="71CABC9A"/>
    <w:rsid w:val="71F7CD6B"/>
    <w:rsid w:val="724F373D"/>
    <w:rsid w:val="72B3A21A"/>
    <w:rsid w:val="72C221F3"/>
    <w:rsid w:val="72FA78D7"/>
    <w:rsid w:val="72FEC955"/>
    <w:rsid w:val="730B203C"/>
    <w:rsid w:val="730F6E0C"/>
    <w:rsid w:val="736E308B"/>
    <w:rsid w:val="73711910"/>
    <w:rsid w:val="73772968"/>
    <w:rsid w:val="737C604B"/>
    <w:rsid w:val="738FC8B2"/>
    <w:rsid w:val="739F2C7B"/>
    <w:rsid w:val="739FF49E"/>
    <w:rsid w:val="73DC9346"/>
    <w:rsid w:val="73DE35A0"/>
    <w:rsid w:val="742E694F"/>
    <w:rsid w:val="743A0007"/>
    <w:rsid w:val="743B4919"/>
    <w:rsid w:val="744F6C1B"/>
    <w:rsid w:val="747F993B"/>
    <w:rsid w:val="74DB6928"/>
    <w:rsid w:val="74FF3054"/>
    <w:rsid w:val="75042A0F"/>
    <w:rsid w:val="756C686F"/>
    <w:rsid w:val="756F0C4C"/>
    <w:rsid w:val="759B6411"/>
    <w:rsid w:val="75AFEE9B"/>
    <w:rsid w:val="75D61324"/>
    <w:rsid w:val="75DEEC68"/>
    <w:rsid w:val="75DFAFA8"/>
    <w:rsid w:val="75F76C7F"/>
    <w:rsid w:val="75F782DB"/>
    <w:rsid w:val="75F8074E"/>
    <w:rsid w:val="75FC5065"/>
    <w:rsid w:val="75FF7AA6"/>
    <w:rsid w:val="75FF9354"/>
    <w:rsid w:val="76312340"/>
    <w:rsid w:val="767EC320"/>
    <w:rsid w:val="76A7DED8"/>
    <w:rsid w:val="76DBEF87"/>
    <w:rsid w:val="76DC5C0A"/>
    <w:rsid w:val="76E314F9"/>
    <w:rsid w:val="76EB4495"/>
    <w:rsid w:val="76EDC6F9"/>
    <w:rsid w:val="76EFF182"/>
    <w:rsid w:val="76F22ACE"/>
    <w:rsid w:val="76F71C18"/>
    <w:rsid w:val="76F9FD5F"/>
    <w:rsid w:val="76FB12F9"/>
    <w:rsid w:val="773C7197"/>
    <w:rsid w:val="775F292F"/>
    <w:rsid w:val="776EC8A9"/>
    <w:rsid w:val="77778100"/>
    <w:rsid w:val="77780307"/>
    <w:rsid w:val="777F6297"/>
    <w:rsid w:val="779DDC11"/>
    <w:rsid w:val="779FBBF4"/>
    <w:rsid w:val="77A7CB4A"/>
    <w:rsid w:val="77B47FC8"/>
    <w:rsid w:val="77B731BF"/>
    <w:rsid w:val="77BD2EF9"/>
    <w:rsid w:val="77BE3A41"/>
    <w:rsid w:val="77BED5A8"/>
    <w:rsid w:val="77BF7599"/>
    <w:rsid w:val="77BFE710"/>
    <w:rsid w:val="77CB29F7"/>
    <w:rsid w:val="77D98406"/>
    <w:rsid w:val="77DF3FEF"/>
    <w:rsid w:val="77E98E7A"/>
    <w:rsid w:val="77EE79CE"/>
    <w:rsid w:val="77F5CE92"/>
    <w:rsid w:val="77F5FA3E"/>
    <w:rsid w:val="77F75100"/>
    <w:rsid w:val="77F76583"/>
    <w:rsid w:val="77F7F64A"/>
    <w:rsid w:val="77FAD40F"/>
    <w:rsid w:val="77FB40AA"/>
    <w:rsid w:val="77FBB19B"/>
    <w:rsid w:val="77FBC5BE"/>
    <w:rsid w:val="77FCB8C9"/>
    <w:rsid w:val="77FCBE14"/>
    <w:rsid w:val="77FD0CBE"/>
    <w:rsid w:val="77FD6262"/>
    <w:rsid w:val="77FEFF22"/>
    <w:rsid w:val="77FF6DDC"/>
    <w:rsid w:val="77FF74D1"/>
    <w:rsid w:val="77FF92A8"/>
    <w:rsid w:val="77FFB672"/>
    <w:rsid w:val="77FFEE31"/>
    <w:rsid w:val="783017F3"/>
    <w:rsid w:val="786E95E4"/>
    <w:rsid w:val="7887B7E9"/>
    <w:rsid w:val="78CBEACF"/>
    <w:rsid w:val="78DDA78D"/>
    <w:rsid w:val="78EF769B"/>
    <w:rsid w:val="78FE5649"/>
    <w:rsid w:val="78FF0D02"/>
    <w:rsid w:val="792E1330"/>
    <w:rsid w:val="79A61115"/>
    <w:rsid w:val="79A801FD"/>
    <w:rsid w:val="79E07B0A"/>
    <w:rsid w:val="79E3234F"/>
    <w:rsid w:val="79EF9ED0"/>
    <w:rsid w:val="79F0746B"/>
    <w:rsid w:val="79FCB470"/>
    <w:rsid w:val="7A3A369C"/>
    <w:rsid w:val="7A5F496F"/>
    <w:rsid w:val="7A7776AC"/>
    <w:rsid w:val="7AB79D70"/>
    <w:rsid w:val="7AB95F84"/>
    <w:rsid w:val="7ABB2591"/>
    <w:rsid w:val="7ABFC280"/>
    <w:rsid w:val="7ABFD639"/>
    <w:rsid w:val="7AC7559F"/>
    <w:rsid w:val="7ACD44B3"/>
    <w:rsid w:val="7AD6A341"/>
    <w:rsid w:val="7ADB9F20"/>
    <w:rsid w:val="7AF418C4"/>
    <w:rsid w:val="7AF50AD6"/>
    <w:rsid w:val="7AF5CDB1"/>
    <w:rsid w:val="7AFD66DE"/>
    <w:rsid w:val="7AFF10A9"/>
    <w:rsid w:val="7AFF40D2"/>
    <w:rsid w:val="7B1FD420"/>
    <w:rsid w:val="7B2F38B5"/>
    <w:rsid w:val="7B57571E"/>
    <w:rsid w:val="7B61B56B"/>
    <w:rsid w:val="7B672273"/>
    <w:rsid w:val="7B6A429E"/>
    <w:rsid w:val="7B763027"/>
    <w:rsid w:val="7B7D0E6B"/>
    <w:rsid w:val="7B7E65B4"/>
    <w:rsid w:val="7B7F5EF3"/>
    <w:rsid w:val="7B8D8AD2"/>
    <w:rsid w:val="7B9C11EF"/>
    <w:rsid w:val="7B9D3B21"/>
    <w:rsid w:val="7BA69874"/>
    <w:rsid w:val="7BB4DDDB"/>
    <w:rsid w:val="7BBD1E7C"/>
    <w:rsid w:val="7BBDFED2"/>
    <w:rsid w:val="7BBF9CFD"/>
    <w:rsid w:val="7BBFAAEF"/>
    <w:rsid w:val="7BCD78DF"/>
    <w:rsid w:val="7BD4E121"/>
    <w:rsid w:val="7BD5004C"/>
    <w:rsid w:val="7BDDB8D0"/>
    <w:rsid w:val="7BDE220F"/>
    <w:rsid w:val="7BDE8074"/>
    <w:rsid w:val="7BDF90C0"/>
    <w:rsid w:val="7BE37D9B"/>
    <w:rsid w:val="7BEEB593"/>
    <w:rsid w:val="7BF36914"/>
    <w:rsid w:val="7BF73F55"/>
    <w:rsid w:val="7BFA92A3"/>
    <w:rsid w:val="7BFBBF02"/>
    <w:rsid w:val="7BFC0CA1"/>
    <w:rsid w:val="7BFC63FB"/>
    <w:rsid w:val="7BFD9D8E"/>
    <w:rsid w:val="7BFDCA2C"/>
    <w:rsid w:val="7BFEAC7A"/>
    <w:rsid w:val="7BFF3CE2"/>
    <w:rsid w:val="7BFFFD05"/>
    <w:rsid w:val="7C3FDDEF"/>
    <w:rsid w:val="7C57BBA1"/>
    <w:rsid w:val="7C677455"/>
    <w:rsid w:val="7C8F4DF6"/>
    <w:rsid w:val="7C8F7F9B"/>
    <w:rsid w:val="7C982576"/>
    <w:rsid w:val="7C9F2925"/>
    <w:rsid w:val="7CAF8F9E"/>
    <w:rsid w:val="7CBDCF0C"/>
    <w:rsid w:val="7CBECF97"/>
    <w:rsid w:val="7CD5ACDD"/>
    <w:rsid w:val="7CDB5EE2"/>
    <w:rsid w:val="7CDD7C4E"/>
    <w:rsid w:val="7CE11102"/>
    <w:rsid w:val="7CE15B77"/>
    <w:rsid w:val="7CEFE0D4"/>
    <w:rsid w:val="7CFCF87E"/>
    <w:rsid w:val="7D05469E"/>
    <w:rsid w:val="7D1F2917"/>
    <w:rsid w:val="7D2F1822"/>
    <w:rsid w:val="7D300284"/>
    <w:rsid w:val="7D3E4D04"/>
    <w:rsid w:val="7D571D19"/>
    <w:rsid w:val="7D678ED8"/>
    <w:rsid w:val="7D69C0F2"/>
    <w:rsid w:val="7D6FAC4E"/>
    <w:rsid w:val="7D7704AB"/>
    <w:rsid w:val="7D77C3C1"/>
    <w:rsid w:val="7D77F857"/>
    <w:rsid w:val="7D7D1C7B"/>
    <w:rsid w:val="7D8E1A8C"/>
    <w:rsid w:val="7D9B8EC5"/>
    <w:rsid w:val="7D9F55EE"/>
    <w:rsid w:val="7DA78E91"/>
    <w:rsid w:val="7DA7E3F4"/>
    <w:rsid w:val="7DAF659B"/>
    <w:rsid w:val="7DAFEFB6"/>
    <w:rsid w:val="7DBB3B3D"/>
    <w:rsid w:val="7DBEC2AC"/>
    <w:rsid w:val="7DBEE71A"/>
    <w:rsid w:val="7DBEE9CE"/>
    <w:rsid w:val="7DBF1CFB"/>
    <w:rsid w:val="7DD2AE26"/>
    <w:rsid w:val="7DD5CE79"/>
    <w:rsid w:val="7DDA4420"/>
    <w:rsid w:val="7DDB241B"/>
    <w:rsid w:val="7DDB6995"/>
    <w:rsid w:val="7DDF1AD5"/>
    <w:rsid w:val="7DDF8C82"/>
    <w:rsid w:val="7DEA2B9F"/>
    <w:rsid w:val="7DEB0C94"/>
    <w:rsid w:val="7DEF8D61"/>
    <w:rsid w:val="7DF20979"/>
    <w:rsid w:val="7DF39BD3"/>
    <w:rsid w:val="7DF65EFC"/>
    <w:rsid w:val="7DF791C5"/>
    <w:rsid w:val="7DF7E0EA"/>
    <w:rsid w:val="7DF96AC5"/>
    <w:rsid w:val="7DFB6649"/>
    <w:rsid w:val="7DFDD72F"/>
    <w:rsid w:val="7DFE2213"/>
    <w:rsid w:val="7DFEAD5B"/>
    <w:rsid w:val="7DFF3947"/>
    <w:rsid w:val="7DFFA168"/>
    <w:rsid w:val="7E055200"/>
    <w:rsid w:val="7E1FC472"/>
    <w:rsid w:val="7E2FF2D6"/>
    <w:rsid w:val="7E4D5459"/>
    <w:rsid w:val="7E6F506B"/>
    <w:rsid w:val="7E7589D9"/>
    <w:rsid w:val="7E767C26"/>
    <w:rsid w:val="7E7D6BEC"/>
    <w:rsid w:val="7E7E8C64"/>
    <w:rsid w:val="7E7EA1E8"/>
    <w:rsid w:val="7E7FC7D7"/>
    <w:rsid w:val="7E7FDB0E"/>
    <w:rsid w:val="7E9BFC31"/>
    <w:rsid w:val="7E9FDA42"/>
    <w:rsid w:val="7EAFFF09"/>
    <w:rsid w:val="7EB2D1E0"/>
    <w:rsid w:val="7EB5265A"/>
    <w:rsid w:val="7EB6E93C"/>
    <w:rsid w:val="7EBB87DE"/>
    <w:rsid w:val="7EBF344A"/>
    <w:rsid w:val="7EBF4273"/>
    <w:rsid w:val="7ECFE834"/>
    <w:rsid w:val="7ED78A8C"/>
    <w:rsid w:val="7EDAC5B4"/>
    <w:rsid w:val="7EDE7C9D"/>
    <w:rsid w:val="7EDF0374"/>
    <w:rsid w:val="7EDF439A"/>
    <w:rsid w:val="7EDF5363"/>
    <w:rsid w:val="7EE28F22"/>
    <w:rsid w:val="7EEF345E"/>
    <w:rsid w:val="7EEF5D08"/>
    <w:rsid w:val="7EEFF759"/>
    <w:rsid w:val="7EF135E5"/>
    <w:rsid w:val="7EF351BB"/>
    <w:rsid w:val="7EF3ECCF"/>
    <w:rsid w:val="7EF5639B"/>
    <w:rsid w:val="7EF7210D"/>
    <w:rsid w:val="7EFB95C1"/>
    <w:rsid w:val="7EFBA28B"/>
    <w:rsid w:val="7EFDF759"/>
    <w:rsid w:val="7EFF08A3"/>
    <w:rsid w:val="7EFF1E2E"/>
    <w:rsid w:val="7F1E1307"/>
    <w:rsid w:val="7F2048EE"/>
    <w:rsid w:val="7F2CC9D6"/>
    <w:rsid w:val="7F359B49"/>
    <w:rsid w:val="7F366AB2"/>
    <w:rsid w:val="7F3BDE14"/>
    <w:rsid w:val="7F3DE403"/>
    <w:rsid w:val="7F3F4CA6"/>
    <w:rsid w:val="7F47DCBE"/>
    <w:rsid w:val="7F4EEA0D"/>
    <w:rsid w:val="7F5B1C44"/>
    <w:rsid w:val="7F5B4240"/>
    <w:rsid w:val="7F6D2BA9"/>
    <w:rsid w:val="7F6D7283"/>
    <w:rsid w:val="7F6FA508"/>
    <w:rsid w:val="7F6FC46F"/>
    <w:rsid w:val="7F6FD71C"/>
    <w:rsid w:val="7F73DE0A"/>
    <w:rsid w:val="7F74FF3A"/>
    <w:rsid w:val="7F7704CD"/>
    <w:rsid w:val="7F77D96F"/>
    <w:rsid w:val="7F79B1BB"/>
    <w:rsid w:val="7F7AC21C"/>
    <w:rsid w:val="7F7B26C4"/>
    <w:rsid w:val="7F7C9610"/>
    <w:rsid w:val="7F7CDE1B"/>
    <w:rsid w:val="7F7CE981"/>
    <w:rsid w:val="7F7D58EC"/>
    <w:rsid w:val="7F7DE481"/>
    <w:rsid w:val="7F7F1C69"/>
    <w:rsid w:val="7F7FA2F6"/>
    <w:rsid w:val="7F87B683"/>
    <w:rsid w:val="7F8B68C7"/>
    <w:rsid w:val="7F8D5927"/>
    <w:rsid w:val="7F8F23F3"/>
    <w:rsid w:val="7F9C4EAF"/>
    <w:rsid w:val="7F9DB94A"/>
    <w:rsid w:val="7F9EBCE9"/>
    <w:rsid w:val="7F9FD6B5"/>
    <w:rsid w:val="7FA54A78"/>
    <w:rsid w:val="7FAF1B03"/>
    <w:rsid w:val="7FAF4891"/>
    <w:rsid w:val="7FAF8B05"/>
    <w:rsid w:val="7FB14A69"/>
    <w:rsid w:val="7FB9420C"/>
    <w:rsid w:val="7FBB3D3F"/>
    <w:rsid w:val="7FBBE203"/>
    <w:rsid w:val="7FBD1D7B"/>
    <w:rsid w:val="7FBE6E95"/>
    <w:rsid w:val="7FBF1EAE"/>
    <w:rsid w:val="7FBF672F"/>
    <w:rsid w:val="7FBF87AC"/>
    <w:rsid w:val="7FBFC912"/>
    <w:rsid w:val="7FBFE9A0"/>
    <w:rsid w:val="7FC1EE99"/>
    <w:rsid w:val="7FCB48CA"/>
    <w:rsid w:val="7FD95B41"/>
    <w:rsid w:val="7FD96126"/>
    <w:rsid w:val="7FDA515D"/>
    <w:rsid w:val="7FDD217D"/>
    <w:rsid w:val="7FDEE9DC"/>
    <w:rsid w:val="7FDFBFEE"/>
    <w:rsid w:val="7FDFCD01"/>
    <w:rsid w:val="7FE7C266"/>
    <w:rsid w:val="7FECBE07"/>
    <w:rsid w:val="7FED28D8"/>
    <w:rsid w:val="7FEEC528"/>
    <w:rsid w:val="7FEEEDAB"/>
    <w:rsid w:val="7FEEFD14"/>
    <w:rsid w:val="7FEF169F"/>
    <w:rsid w:val="7FEF3122"/>
    <w:rsid w:val="7FEF4DFB"/>
    <w:rsid w:val="7FEF5B48"/>
    <w:rsid w:val="7FEF882E"/>
    <w:rsid w:val="7FF296C2"/>
    <w:rsid w:val="7FF36EAF"/>
    <w:rsid w:val="7FF393DE"/>
    <w:rsid w:val="7FF3B7D9"/>
    <w:rsid w:val="7FF3E503"/>
    <w:rsid w:val="7FF55AC3"/>
    <w:rsid w:val="7FF56F66"/>
    <w:rsid w:val="7FF6ACCB"/>
    <w:rsid w:val="7FF6B49E"/>
    <w:rsid w:val="7FF721D6"/>
    <w:rsid w:val="7FF7889B"/>
    <w:rsid w:val="7FF7BCEC"/>
    <w:rsid w:val="7FF898B2"/>
    <w:rsid w:val="7FFA6C09"/>
    <w:rsid w:val="7FFB413B"/>
    <w:rsid w:val="7FFB553C"/>
    <w:rsid w:val="7FFB61C8"/>
    <w:rsid w:val="7FFB6F3F"/>
    <w:rsid w:val="7FFCE87B"/>
    <w:rsid w:val="7FFD1D31"/>
    <w:rsid w:val="7FFD2414"/>
    <w:rsid w:val="7FFD2745"/>
    <w:rsid w:val="7FFD2BA5"/>
    <w:rsid w:val="7FFD65E4"/>
    <w:rsid w:val="7FFDA079"/>
    <w:rsid w:val="7FFDBF15"/>
    <w:rsid w:val="7FFE2467"/>
    <w:rsid w:val="7FFF03C0"/>
    <w:rsid w:val="7FFF04CC"/>
    <w:rsid w:val="7FFF13B5"/>
    <w:rsid w:val="7FFF1BDF"/>
    <w:rsid w:val="7FFF20BF"/>
    <w:rsid w:val="7FFF3653"/>
    <w:rsid w:val="7FFF3C13"/>
    <w:rsid w:val="7FFF3EF2"/>
    <w:rsid w:val="7FFF45C9"/>
    <w:rsid w:val="7FFF5B3A"/>
    <w:rsid w:val="7FFF9485"/>
    <w:rsid w:val="7FFFCF4B"/>
    <w:rsid w:val="7FFFFDCD"/>
    <w:rsid w:val="81FE6079"/>
    <w:rsid w:val="82A26F71"/>
    <w:rsid w:val="87EFD6A9"/>
    <w:rsid w:val="87FA8369"/>
    <w:rsid w:val="8BFD42D1"/>
    <w:rsid w:val="8DBFDD65"/>
    <w:rsid w:val="8DFF0A32"/>
    <w:rsid w:val="8EBEDC81"/>
    <w:rsid w:val="8FA3A1B7"/>
    <w:rsid w:val="8FFEA326"/>
    <w:rsid w:val="93FF01E8"/>
    <w:rsid w:val="94FBEA04"/>
    <w:rsid w:val="963F358B"/>
    <w:rsid w:val="9677580F"/>
    <w:rsid w:val="967AA883"/>
    <w:rsid w:val="96BD824A"/>
    <w:rsid w:val="96F5B2FD"/>
    <w:rsid w:val="96FF2F88"/>
    <w:rsid w:val="973DC743"/>
    <w:rsid w:val="976959FF"/>
    <w:rsid w:val="976B954E"/>
    <w:rsid w:val="97957E1C"/>
    <w:rsid w:val="97DF3E91"/>
    <w:rsid w:val="97EF5F3B"/>
    <w:rsid w:val="97FF2BEA"/>
    <w:rsid w:val="9959586F"/>
    <w:rsid w:val="9AEBC3F3"/>
    <w:rsid w:val="9AF73D63"/>
    <w:rsid w:val="9BCCFE00"/>
    <w:rsid w:val="9BDF7AE1"/>
    <w:rsid w:val="9BDFC893"/>
    <w:rsid w:val="9CB7527D"/>
    <w:rsid w:val="9CBB4C26"/>
    <w:rsid w:val="9D4B5CFF"/>
    <w:rsid w:val="9D784976"/>
    <w:rsid w:val="9D7A7E67"/>
    <w:rsid w:val="9D7F4F19"/>
    <w:rsid w:val="9D97F91D"/>
    <w:rsid w:val="9D9F9AEA"/>
    <w:rsid w:val="9DB9A45C"/>
    <w:rsid w:val="9DE30EE6"/>
    <w:rsid w:val="9E1FF495"/>
    <w:rsid w:val="9F2FED1D"/>
    <w:rsid w:val="9F4F26FD"/>
    <w:rsid w:val="9F6FA46A"/>
    <w:rsid w:val="9F9F1906"/>
    <w:rsid w:val="9FB7A7C0"/>
    <w:rsid w:val="9FB7E88D"/>
    <w:rsid w:val="9FBB0698"/>
    <w:rsid w:val="9FEA92EC"/>
    <w:rsid w:val="9FF71276"/>
    <w:rsid w:val="9FF998B6"/>
    <w:rsid w:val="9FFBE5D0"/>
    <w:rsid w:val="9FFCE53E"/>
    <w:rsid w:val="9FFEDA65"/>
    <w:rsid w:val="9FFF4F3E"/>
    <w:rsid w:val="9FFFD7A4"/>
    <w:rsid w:val="A35F3801"/>
    <w:rsid w:val="A6F5123E"/>
    <w:rsid w:val="A7DF2306"/>
    <w:rsid w:val="A7F7DDD7"/>
    <w:rsid w:val="A9EF9F05"/>
    <w:rsid w:val="AACE697A"/>
    <w:rsid w:val="AAFF7312"/>
    <w:rsid w:val="AB7E1AA6"/>
    <w:rsid w:val="AB9F27CF"/>
    <w:rsid w:val="ABCAD093"/>
    <w:rsid w:val="ABDF97F3"/>
    <w:rsid w:val="ABE9E6EE"/>
    <w:rsid w:val="ABFEF12C"/>
    <w:rsid w:val="AD77682A"/>
    <w:rsid w:val="ADA7C56D"/>
    <w:rsid w:val="ADBFEF31"/>
    <w:rsid w:val="AE783877"/>
    <w:rsid w:val="AE978739"/>
    <w:rsid w:val="AF1FAF30"/>
    <w:rsid w:val="AF79CEC1"/>
    <w:rsid w:val="AF7EEA5A"/>
    <w:rsid w:val="AF7F7257"/>
    <w:rsid w:val="AF7FB08E"/>
    <w:rsid w:val="AFA7A66D"/>
    <w:rsid w:val="AFC62A84"/>
    <w:rsid w:val="AFD6400C"/>
    <w:rsid w:val="AFDE770A"/>
    <w:rsid w:val="AFEF2F3C"/>
    <w:rsid w:val="AFF7FC4C"/>
    <w:rsid w:val="AFF9F8BE"/>
    <w:rsid w:val="AFFFAD1C"/>
    <w:rsid w:val="AFFFFB84"/>
    <w:rsid w:val="B1AE64E4"/>
    <w:rsid w:val="B1BF3B79"/>
    <w:rsid w:val="B27DFF96"/>
    <w:rsid w:val="B2ADECF5"/>
    <w:rsid w:val="B321615A"/>
    <w:rsid w:val="B3DF8180"/>
    <w:rsid w:val="B3FF0589"/>
    <w:rsid w:val="B4BABF3E"/>
    <w:rsid w:val="B4C76840"/>
    <w:rsid w:val="B4CBE638"/>
    <w:rsid w:val="B4CD87C7"/>
    <w:rsid w:val="B4FB1885"/>
    <w:rsid w:val="B51F6F2D"/>
    <w:rsid w:val="B5798679"/>
    <w:rsid w:val="B57F2E1C"/>
    <w:rsid w:val="B5936CA8"/>
    <w:rsid w:val="B5BBCD0F"/>
    <w:rsid w:val="B5BDF1E9"/>
    <w:rsid w:val="B5D47469"/>
    <w:rsid w:val="B5DC1D31"/>
    <w:rsid w:val="B68E4743"/>
    <w:rsid w:val="B6C60AF5"/>
    <w:rsid w:val="B6DA4155"/>
    <w:rsid w:val="B6FB2B5D"/>
    <w:rsid w:val="B75F656F"/>
    <w:rsid w:val="B765F6E0"/>
    <w:rsid w:val="B7765C98"/>
    <w:rsid w:val="B7B70386"/>
    <w:rsid w:val="B7CDA1A1"/>
    <w:rsid w:val="B7D675B4"/>
    <w:rsid w:val="B7EE55C6"/>
    <w:rsid w:val="B7F23C05"/>
    <w:rsid w:val="B7F5F682"/>
    <w:rsid w:val="B7FAD376"/>
    <w:rsid w:val="B7FAE157"/>
    <w:rsid w:val="B7FBDB21"/>
    <w:rsid w:val="B7FC663D"/>
    <w:rsid w:val="B7FD0ED8"/>
    <w:rsid w:val="B7FF589E"/>
    <w:rsid w:val="B9CF136C"/>
    <w:rsid w:val="B9DE6005"/>
    <w:rsid w:val="B9DFD247"/>
    <w:rsid w:val="B9EF867A"/>
    <w:rsid w:val="B9F7E860"/>
    <w:rsid w:val="B9FBC771"/>
    <w:rsid w:val="BA5415F2"/>
    <w:rsid w:val="BA7B23C6"/>
    <w:rsid w:val="BAFB81A7"/>
    <w:rsid w:val="BB5BAB7B"/>
    <w:rsid w:val="BB7E3091"/>
    <w:rsid w:val="BB8C6D88"/>
    <w:rsid w:val="BBAFDEED"/>
    <w:rsid w:val="BBCF7B9D"/>
    <w:rsid w:val="BBDF6B82"/>
    <w:rsid w:val="BBEF3B35"/>
    <w:rsid w:val="BBFEC1CC"/>
    <w:rsid w:val="BC1E6F7E"/>
    <w:rsid w:val="BCCF7854"/>
    <w:rsid w:val="BCFD45BF"/>
    <w:rsid w:val="BCFF6775"/>
    <w:rsid w:val="BD3FC680"/>
    <w:rsid w:val="BD47B944"/>
    <w:rsid w:val="BDBB04BA"/>
    <w:rsid w:val="BDBC21B5"/>
    <w:rsid w:val="BDD35F3E"/>
    <w:rsid w:val="BDEF367C"/>
    <w:rsid w:val="BDF1A41F"/>
    <w:rsid w:val="BDF7F6DC"/>
    <w:rsid w:val="BDF9B84C"/>
    <w:rsid w:val="BDFB9CE3"/>
    <w:rsid w:val="BDFF262B"/>
    <w:rsid w:val="BE3725C4"/>
    <w:rsid w:val="BE5CB90D"/>
    <w:rsid w:val="BE6A3493"/>
    <w:rsid w:val="BE6BEEB9"/>
    <w:rsid w:val="BE771004"/>
    <w:rsid w:val="BE7AC19C"/>
    <w:rsid w:val="BEAE9DF3"/>
    <w:rsid w:val="BEB7430C"/>
    <w:rsid w:val="BEC3F2B7"/>
    <w:rsid w:val="BEDFDBC5"/>
    <w:rsid w:val="BEDFF5FA"/>
    <w:rsid w:val="BEFB4FCA"/>
    <w:rsid w:val="BEFBB1F5"/>
    <w:rsid w:val="BEFECFA3"/>
    <w:rsid w:val="BEFF3D2B"/>
    <w:rsid w:val="BF11BE20"/>
    <w:rsid w:val="BF1DE121"/>
    <w:rsid w:val="BF31C4E3"/>
    <w:rsid w:val="BF4715B1"/>
    <w:rsid w:val="BF5748D9"/>
    <w:rsid w:val="BF5BC6C5"/>
    <w:rsid w:val="BF5F38F5"/>
    <w:rsid w:val="BF6F01EA"/>
    <w:rsid w:val="BF722544"/>
    <w:rsid w:val="BF76CBB6"/>
    <w:rsid w:val="BF777B0A"/>
    <w:rsid w:val="BF7B4789"/>
    <w:rsid w:val="BF7B952F"/>
    <w:rsid w:val="BF7BBDB9"/>
    <w:rsid w:val="BF7FBB0D"/>
    <w:rsid w:val="BF7FBFF6"/>
    <w:rsid w:val="BF9B2F88"/>
    <w:rsid w:val="BF9F01D0"/>
    <w:rsid w:val="BFA77204"/>
    <w:rsid w:val="BFAA1474"/>
    <w:rsid w:val="BFB70475"/>
    <w:rsid w:val="BFBDB82D"/>
    <w:rsid w:val="BFBDBA00"/>
    <w:rsid w:val="BFCDD3DB"/>
    <w:rsid w:val="BFDF3FA1"/>
    <w:rsid w:val="BFEB9FAB"/>
    <w:rsid w:val="BFED4FE3"/>
    <w:rsid w:val="BFEF6AD1"/>
    <w:rsid w:val="BFF936DD"/>
    <w:rsid w:val="BFFB7C56"/>
    <w:rsid w:val="BFFD5E01"/>
    <w:rsid w:val="BFFEE9E7"/>
    <w:rsid w:val="BFFF1A84"/>
    <w:rsid w:val="BFFF5544"/>
    <w:rsid w:val="BFFF56B9"/>
    <w:rsid w:val="BFFF9C12"/>
    <w:rsid w:val="C3A7780E"/>
    <w:rsid w:val="C57FA795"/>
    <w:rsid w:val="C5A2A367"/>
    <w:rsid w:val="C64E1F81"/>
    <w:rsid w:val="C6FEFEF4"/>
    <w:rsid w:val="C7F63D0F"/>
    <w:rsid w:val="C7FF0A7E"/>
    <w:rsid w:val="C9EB4E87"/>
    <w:rsid w:val="CAF62F80"/>
    <w:rsid w:val="CB3F9FD0"/>
    <w:rsid w:val="CBED4D54"/>
    <w:rsid w:val="CBFD26A4"/>
    <w:rsid w:val="CBFDA26F"/>
    <w:rsid w:val="CCDD9B48"/>
    <w:rsid w:val="CCEB2003"/>
    <w:rsid w:val="CCFC2A5A"/>
    <w:rsid w:val="CCFCEF4C"/>
    <w:rsid w:val="CD3B1380"/>
    <w:rsid w:val="CDE2203F"/>
    <w:rsid w:val="CDF3706D"/>
    <w:rsid w:val="CDFF330B"/>
    <w:rsid w:val="CE397184"/>
    <w:rsid w:val="CE8F733E"/>
    <w:rsid w:val="CE93F937"/>
    <w:rsid w:val="CEDB51B8"/>
    <w:rsid w:val="CEEF60D7"/>
    <w:rsid w:val="CEFF0C70"/>
    <w:rsid w:val="CFBDF74E"/>
    <w:rsid w:val="CFBFBB80"/>
    <w:rsid w:val="CFDD7779"/>
    <w:rsid w:val="CFF3BD86"/>
    <w:rsid w:val="CFF61ACC"/>
    <w:rsid w:val="CFFDAB11"/>
    <w:rsid w:val="CFFDB33A"/>
    <w:rsid w:val="CFFF3BD0"/>
    <w:rsid w:val="CFFF553A"/>
    <w:rsid w:val="D13F2E02"/>
    <w:rsid w:val="D16EEFB3"/>
    <w:rsid w:val="D1BB9916"/>
    <w:rsid w:val="D3BFE1FB"/>
    <w:rsid w:val="D3E76654"/>
    <w:rsid w:val="D3F7F62F"/>
    <w:rsid w:val="D477B8AC"/>
    <w:rsid w:val="D49F660D"/>
    <w:rsid w:val="D5EFE259"/>
    <w:rsid w:val="D5F6BA5B"/>
    <w:rsid w:val="D62F74AC"/>
    <w:rsid w:val="D67D62B2"/>
    <w:rsid w:val="D6DD1EF1"/>
    <w:rsid w:val="D6FFE398"/>
    <w:rsid w:val="D72E70D0"/>
    <w:rsid w:val="D7AF99D0"/>
    <w:rsid w:val="D7AFE9A0"/>
    <w:rsid w:val="D7B7D430"/>
    <w:rsid w:val="D7BF94D4"/>
    <w:rsid w:val="D7CF493A"/>
    <w:rsid w:val="D7D31095"/>
    <w:rsid w:val="D7ED65C4"/>
    <w:rsid w:val="D7F7C892"/>
    <w:rsid w:val="D7FD36FF"/>
    <w:rsid w:val="D7FE8088"/>
    <w:rsid w:val="D7FEA9BF"/>
    <w:rsid w:val="D81FB63C"/>
    <w:rsid w:val="D8E7CCC3"/>
    <w:rsid w:val="D8F8CAD3"/>
    <w:rsid w:val="D8FDE1BE"/>
    <w:rsid w:val="D96728B6"/>
    <w:rsid w:val="D978F42D"/>
    <w:rsid w:val="D99EF49E"/>
    <w:rsid w:val="D9DF93FE"/>
    <w:rsid w:val="D9FB29C2"/>
    <w:rsid w:val="D9FE3533"/>
    <w:rsid w:val="D9FF9263"/>
    <w:rsid w:val="DAD3C5FA"/>
    <w:rsid w:val="DAFF9039"/>
    <w:rsid w:val="DB2AE616"/>
    <w:rsid w:val="DB3BFF53"/>
    <w:rsid w:val="DB7B5A82"/>
    <w:rsid w:val="DB7F6D07"/>
    <w:rsid w:val="DB9EBBBB"/>
    <w:rsid w:val="DBAEB8FC"/>
    <w:rsid w:val="DBAFB947"/>
    <w:rsid w:val="DBB37039"/>
    <w:rsid w:val="DBBFDDE6"/>
    <w:rsid w:val="DBDB2D24"/>
    <w:rsid w:val="DBEE6FA4"/>
    <w:rsid w:val="DBEF4097"/>
    <w:rsid w:val="DBEF4637"/>
    <w:rsid w:val="DBF10195"/>
    <w:rsid w:val="DBFAA5EE"/>
    <w:rsid w:val="DBFB781E"/>
    <w:rsid w:val="DBFE8C0A"/>
    <w:rsid w:val="DC2CE479"/>
    <w:rsid w:val="DC39FF2C"/>
    <w:rsid w:val="DC7B81AF"/>
    <w:rsid w:val="DCB74330"/>
    <w:rsid w:val="DCBB6FE1"/>
    <w:rsid w:val="DCDF7C96"/>
    <w:rsid w:val="DCEF79ED"/>
    <w:rsid w:val="DCF5AF58"/>
    <w:rsid w:val="DCF7A2F5"/>
    <w:rsid w:val="DCFE34E1"/>
    <w:rsid w:val="DD29FD04"/>
    <w:rsid w:val="DD7A111C"/>
    <w:rsid w:val="DD9F8C21"/>
    <w:rsid w:val="DDB682DA"/>
    <w:rsid w:val="DDBF476F"/>
    <w:rsid w:val="DDBFA65E"/>
    <w:rsid w:val="DDBFD6ED"/>
    <w:rsid w:val="DDD6AE21"/>
    <w:rsid w:val="DDDE165A"/>
    <w:rsid w:val="DDDF790B"/>
    <w:rsid w:val="DDE70D4D"/>
    <w:rsid w:val="DDF33D60"/>
    <w:rsid w:val="DDFB502A"/>
    <w:rsid w:val="DDFD1DE0"/>
    <w:rsid w:val="DDFF4198"/>
    <w:rsid w:val="DDFF9C33"/>
    <w:rsid w:val="DE53C562"/>
    <w:rsid w:val="DE59EBEA"/>
    <w:rsid w:val="DE5E7C82"/>
    <w:rsid w:val="DE8B314F"/>
    <w:rsid w:val="DEB307C8"/>
    <w:rsid w:val="DEDB8387"/>
    <w:rsid w:val="DEDBAD88"/>
    <w:rsid w:val="DEECF988"/>
    <w:rsid w:val="DEEEC30C"/>
    <w:rsid w:val="DEF5296D"/>
    <w:rsid w:val="DEFBC508"/>
    <w:rsid w:val="DEFFA069"/>
    <w:rsid w:val="DEFFA567"/>
    <w:rsid w:val="DEFFE57F"/>
    <w:rsid w:val="DF3EC4D0"/>
    <w:rsid w:val="DF65C9F9"/>
    <w:rsid w:val="DF6EB2BB"/>
    <w:rsid w:val="DF7F4F3F"/>
    <w:rsid w:val="DF9FF40B"/>
    <w:rsid w:val="DFB9456C"/>
    <w:rsid w:val="DFBD31D1"/>
    <w:rsid w:val="DFBF39C8"/>
    <w:rsid w:val="DFBF919C"/>
    <w:rsid w:val="DFCB1562"/>
    <w:rsid w:val="DFCE38F8"/>
    <w:rsid w:val="DFD34C00"/>
    <w:rsid w:val="DFDE339C"/>
    <w:rsid w:val="DFDE452E"/>
    <w:rsid w:val="DFDE5F5C"/>
    <w:rsid w:val="DFE537BB"/>
    <w:rsid w:val="DFE72A85"/>
    <w:rsid w:val="DFED1923"/>
    <w:rsid w:val="DFEDD408"/>
    <w:rsid w:val="DFEF2B43"/>
    <w:rsid w:val="DFEFDFB5"/>
    <w:rsid w:val="DFF5A71A"/>
    <w:rsid w:val="DFF69ACD"/>
    <w:rsid w:val="DFF7A369"/>
    <w:rsid w:val="DFFB6DEE"/>
    <w:rsid w:val="DFFE19C6"/>
    <w:rsid w:val="DFFE81B0"/>
    <w:rsid w:val="DFFF5763"/>
    <w:rsid w:val="DFFF8064"/>
    <w:rsid w:val="DFFF9846"/>
    <w:rsid w:val="DFFFA1A5"/>
    <w:rsid w:val="DFFFA4EE"/>
    <w:rsid w:val="DFFFB3C2"/>
    <w:rsid w:val="DFFFCE3B"/>
    <w:rsid w:val="DFFFFDA4"/>
    <w:rsid w:val="E1FC4031"/>
    <w:rsid w:val="E36F1DA4"/>
    <w:rsid w:val="E3FCD7AB"/>
    <w:rsid w:val="E4771982"/>
    <w:rsid w:val="E56FC63B"/>
    <w:rsid w:val="E5FF082B"/>
    <w:rsid w:val="E63F892E"/>
    <w:rsid w:val="E69FD7EC"/>
    <w:rsid w:val="E6AD8069"/>
    <w:rsid w:val="E6D6EB25"/>
    <w:rsid w:val="E6DB064F"/>
    <w:rsid w:val="E6EF4AF6"/>
    <w:rsid w:val="E6EFE97D"/>
    <w:rsid w:val="E6FF5042"/>
    <w:rsid w:val="E7558CFA"/>
    <w:rsid w:val="E7669168"/>
    <w:rsid w:val="E77F1E07"/>
    <w:rsid w:val="E7BC7103"/>
    <w:rsid w:val="E7C727A3"/>
    <w:rsid w:val="E7E4E53A"/>
    <w:rsid w:val="E7F7A39D"/>
    <w:rsid w:val="E7FB4E79"/>
    <w:rsid w:val="E7FFC8EA"/>
    <w:rsid w:val="E80B0DFD"/>
    <w:rsid w:val="E83EDB20"/>
    <w:rsid w:val="E877F8E0"/>
    <w:rsid w:val="E8DF5A3D"/>
    <w:rsid w:val="E96EE54D"/>
    <w:rsid w:val="E9970587"/>
    <w:rsid w:val="E9BEFC9A"/>
    <w:rsid w:val="E9EF0491"/>
    <w:rsid w:val="E9F71EFB"/>
    <w:rsid w:val="E9FB136D"/>
    <w:rsid w:val="EAD7E0F8"/>
    <w:rsid w:val="EAF70B7B"/>
    <w:rsid w:val="EAF7FC35"/>
    <w:rsid w:val="EAFFE71B"/>
    <w:rsid w:val="EB7B7FD8"/>
    <w:rsid w:val="EB7F3985"/>
    <w:rsid w:val="EB9F5D84"/>
    <w:rsid w:val="EB9FE7EA"/>
    <w:rsid w:val="EBCDD38E"/>
    <w:rsid w:val="EBCF486B"/>
    <w:rsid w:val="EBD31C64"/>
    <w:rsid w:val="EBD5221A"/>
    <w:rsid w:val="EBDBA580"/>
    <w:rsid w:val="EBDF44EC"/>
    <w:rsid w:val="EBEFF909"/>
    <w:rsid w:val="EBFEB2E2"/>
    <w:rsid w:val="ECB9C483"/>
    <w:rsid w:val="ECFF30B6"/>
    <w:rsid w:val="ED1710B5"/>
    <w:rsid w:val="ED56B954"/>
    <w:rsid w:val="EDB10435"/>
    <w:rsid w:val="EDBF90BD"/>
    <w:rsid w:val="EDC80E22"/>
    <w:rsid w:val="EDCBE64F"/>
    <w:rsid w:val="EDD5018F"/>
    <w:rsid w:val="EDDC2FA6"/>
    <w:rsid w:val="EDDC71F7"/>
    <w:rsid w:val="EDDD596C"/>
    <w:rsid w:val="EDDD6312"/>
    <w:rsid w:val="EDE4FC38"/>
    <w:rsid w:val="EDEE31A5"/>
    <w:rsid w:val="EDF7BC62"/>
    <w:rsid w:val="EDFA1EDF"/>
    <w:rsid w:val="EE5731C9"/>
    <w:rsid w:val="EE5F42E5"/>
    <w:rsid w:val="EE7742A4"/>
    <w:rsid w:val="EE7E7BD4"/>
    <w:rsid w:val="EE9E1275"/>
    <w:rsid w:val="EEBB623C"/>
    <w:rsid w:val="EEC96D9C"/>
    <w:rsid w:val="EEEFEA6C"/>
    <w:rsid w:val="EEFEACFD"/>
    <w:rsid w:val="EEFF9C90"/>
    <w:rsid w:val="EF193F10"/>
    <w:rsid w:val="EF5F2192"/>
    <w:rsid w:val="EF645BDB"/>
    <w:rsid w:val="EF6D37E2"/>
    <w:rsid w:val="EF794927"/>
    <w:rsid w:val="EF7AE3B4"/>
    <w:rsid w:val="EF7AFAFB"/>
    <w:rsid w:val="EF7BC501"/>
    <w:rsid w:val="EF8B1C24"/>
    <w:rsid w:val="EF8F2D4A"/>
    <w:rsid w:val="EF9DC808"/>
    <w:rsid w:val="EFABFDA2"/>
    <w:rsid w:val="EFB5F0FD"/>
    <w:rsid w:val="EFBB3AB0"/>
    <w:rsid w:val="EFBED759"/>
    <w:rsid w:val="EFC745B5"/>
    <w:rsid w:val="EFCF9120"/>
    <w:rsid w:val="EFDA3F9D"/>
    <w:rsid w:val="EFDE7F6B"/>
    <w:rsid w:val="EFE3B0F6"/>
    <w:rsid w:val="EFED26CF"/>
    <w:rsid w:val="EFF07ED3"/>
    <w:rsid w:val="EFF5F9F3"/>
    <w:rsid w:val="EFF77204"/>
    <w:rsid w:val="EFF7CB6B"/>
    <w:rsid w:val="EFFDEABC"/>
    <w:rsid w:val="EFFDFC15"/>
    <w:rsid w:val="EFFE5255"/>
    <w:rsid w:val="EFFEE820"/>
    <w:rsid w:val="EFFF38E4"/>
    <w:rsid w:val="EFFF8EC6"/>
    <w:rsid w:val="F06E861A"/>
    <w:rsid w:val="F0EF5ED2"/>
    <w:rsid w:val="F0F52149"/>
    <w:rsid w:val="F1D7DEB3"/>
    <w:rsid w:val="F1DF08E3"/>
    <w:rsid w:val="F1FBD8D5"/>
    <w:rsid w:val="F23D1287"/>
    <w:rsid w:val="F256869A"/>
    <w:rsid w:val="F27F8253"/>
    <w:rsid w:val="F2BC9A92"/>
    <w:rsid w:val="F2FBB5BB"/>
    <w:rsid w:val="F2FC2609"/>
    <w:rsid w:val="F317ABBC"/>
    <w:rsid w:val="F33A2B88"/>
    <w:rsid w:val="F37BB88A"/>
    <w:rsid w:val="F3B43F15"/>
    <w:rsid w:val="F3BBF4DB"/>
    <w:rsid w:val="F3E744A6"/>
    <w:rsid w:val="F3FDB21A"/>
    <w:rsid w:val="F3FE2C4B"/>
    <w:rsid w:val="F3FF0985"/>
    <w:rsid w:val="F3FF8558"/>
    <w:rsid w:val="F3FFCCBE"/>
    <w:rsid w:val="F43F96C4"/>
    <w:rsid w:val="F49C66D8"/>
    <w:rsid w:val="F4A798F0"/>
    <w:rsid w:val="F4CEBCA6"/>
    <w:rsid w:val="F4DF299A"/>
    <w:rsid w:val="F4F3F40B"/>
    <w:rsid w:val="F4FE2EC9"/>
    <w:rsid w:val="F4FFB1A7"/>
    <w:rsid w:val="F52F7E0E"/>
    <w:rsid w:val="F55F625C"/>
    <w:rsid w:val="F57EFC4A"/>
    <w:rsid w:val="F58A0C67"/>
    <w:rsid w:val="F5BE684A"/>
    <w:rsid w:val="F5BF82B2"/>
    <w:rsid w:val="F5DA94B6"/>
    <w:rsid w:val="F5DF0191"/>
    <w:rsid w:val="F5DFE4C2"/>
    <w:rsid w:val="F5EA7E8B"/>
    <w:rsid w:val="F5EFC51D"/>
    <w:rsid w:val="F5FDD35F"/>
    <w:rsid w:val="F5FE7EB2"/>
    <w:rsid w:val="F5FEF199"/>
    <w:rsid w:val="F5FFD88F"/>
    <w:rsid w:val="F5FFEC87"/>
    <w:rsid w:val="F673C2FA"/>
    <w:rsid w:val="F6B33F6B"/>
    <w:rsid w:val="F6BBCEFB"/>
    <w:rsid w:val="F6BFE143"/>
    <w:rsid w:val="F6EF2670"/>
    <w:rsid w:val="F6FF97B1"/>
    <w:rsid w:val="F6FFB351"/>
    <w:rsid w:val="F73DFD71"/>
    <w:rsid w:val="F7461CDE"/>
    <w:rsid w:val="F75E66EE"/>
    <w:rsid w:val="F76A32B5"/>
    <w:rsid w:val="F76B3F0C"/>
    <w:rsid w:val="F76D6BD5"/>
    <w:rsid w:val="F773535E"/>
    <w:rsid w:val="F7792366"/>
    <w:rsid w:val="F77B73AC"/>
    <w:rsid w:val="F77EB90E"/>
    <w:rsid w:val="F77F0229"/>
    <w:rsid w:val="F77F7AD1"/>
    <w:rsid w:val="F77FCB90"/>
    <w:rsid w:val="F7A655B1"/>
    <w:rsid w:val="F7B7327B"/>
    <w:rsid w:val="F7B7C858"/>
    <w:rsid w:val="F7B96C60"/>
    <w:rsid w:val="F7BF4320"/>
    <w:rsid w:val="F7CB3122"/>
    <w:rsid w:val="F7CDA460"/>
    <w:rsid w:val="F7DA7B78"/>
    <w:rsid w:val="F7E25606"/>
    <w:rsid w:val="F7EB4B3D"/>
    <w:rsid w:val="F7EF5EE8"/>
    <w:rsid w:val="F7EF82F0"/>
    <w:rsid w:val="F7F35E36"/>
    <w:rsid w:val="F7F59258"/>
    <w:rsid w:val="F7F6930A"/>
    <w:rsid w:val="F7F7ABD9"/>
    <w:rsid w:val="F7FA7D87"/>
    <w:rsid w:val="F7FDEEA7"/>
    <w:rsid w:val="F7FEED3A"/>
    <w:rsid w:val="F7FF064C"/>
    <w:rsid w:val="F7FFD9D4"/>
    <w:rsid w:val="F86B7A13"/>
    <w:rsid w:val="F8BD26E8"/>
    <w:rsid w:val="F8EF0B8C"/>
    <w:rsid w:val="F8FF0718"/>
    <w:rsid w:val="F93D386F"/>
    <w:rsid w:val="F951C0DA"/>
    <w:rsid w:val="F95F8527"/>
    <w:rsid w:val="F9981E0C"/>
    <w:rsid w:val="F9BA7F2B"/>
    <w:rsid w:val="F9CB39FE"/>
    <w:rsid w:val="F9DF5E13"/>
    <w:rsid w:val="F9EFEC7D"/>
    <w:rsid w:val="F9F74BE1"/>
    <w:rsid w:val="F9F7A205"/>
    <w:rsid w:val="F9FD0E42"/>
    <w:rsid w:val="F9FD8E30"/>
    <w:rsid w:val="F9FE8715"/>
    <w:rsid w:val="F9FEAA2D"/>
    <w:rsid w:val="FA392E98"/>
    <w:rsid w:val="FADF28D4"/>
    <w:rsid w:val="FAEA5A2D"/>
    <w:rsid w:val="FAED27B4"/>
    <w:rsid w:val="FAFAC7F0"/>
    <w:rsid w:val="FAFF6FD0"/>
    <w:rsid w:val="FB179776"/>
    <w:rsid w:val="FB37B69C"/>
    <w:rsid w:val="FB56C854"/>
    <w:rsid w:val="FB5F898D"/>
    <w:rsid w:val="FB5FEC15"/>
    <w:rsid w:val="FB65EC47"/>
    <w:rsid w:val="FB67B024"/>
    <w:rsid w:val="FB7B4480"/>
    <w:rsid w:val="FB7D72C7"/>
    <w:rsid w:val="FB7E7CA0"/>
    <w:rsid w:val="FB7F444C"/>
    <w:rsid w:val="FB7FB27B"/>
    <w:rsid w:val="FB7FB2BD"/>
    <w:rsid w:val="FB7FC9B8"/>
    <w:rsid w:val="FB7FD1C4"/>
    <w:rsid w:val="FB936EB9"/>
    <w:rsid w:val="FBA6BFD5"/>
    <w:rsid w:val="FBAE5725"/>
    <w:rsid w:val="FBB7CAA7"/>
    <w:rsid w:val="FBCFFA7A"/>
    <w:rsid w:val="FBD77245"/>
    <w:rsid w:val="FBD9B813"/>
    <w:rsid w:val="FBDC261F"/>
    <w:rsid w:val="FBDD6269"/>
    <w:rsid w:val="FBDDDCA3"/>
    <w:rsid w:val="FBDFC7D9"/>
    <w:rsid w:val="FBDFD0BF"/>
    <w:rsid w:val="FBDFFCA9"/>
    <w:rsid w:val="FBE2990C"/>
    <w:rsid w:val="FBE7F301"/>
    <w:rsid w:val="FBED000F"/>
    <w:rsid w:val="FBEE8204"/>
    <w:rsid w:val="FBFAAB59"/>
    <w:rsid w:val="FBFB509C"/>
    <w:rsid w:val="FBFCC1D2"/>
    <w:rsid w:val="FBFE98DA"/>
    <w:rsid w:val="FBFED85F"/>
    <w:rsid w:val="FBFF05E5"/>
    <w:rsid w:val="FBFF48F3"/>
    <w:rsid w:val="FBFF83A5"/>
    <w:rsid w:val="FC330C53"/>
    <w:rsid w:val="FC5F44A9"/>
    <w:rsid w:val="FC7311A7"/>
    <w:rsid w:val="FC7CA9F1"/>
    <w:rsid w:val="FCAE15E6"/>
    <w:rsid w:val="FCE813D9"/>
    <w:rsid w:val="FCEB0B94"/>
    <w:rsid w:val="FCFD0711"/>
    <w:rsid w:val="FCFDDB54"/>
    <w:rsid w:val="FCFDF7A3"/>
    <w:rsid w:val="FCFF558E"/>
    <w:rsid w:val="FD1BCAB5"/>
    <w:rsid w:val="FD1F2017"/>
    <w:rsid w:val="FD1FDCE1"/>
    <w:rsid w:val="FD23C85E"/>
    <w:rsid w:val="FD2530D8"/>
    <w:rsid w:val="FD6F51EF"/>
    <w:rsid w:val="FD7F7F2D"/>
    <w:rsid w:val="FD7FDB51"/>
    <w:rsid w:val="FDB66CF2"/>
    <w:rsid w:val="FDBCD986"/>
    <w:rsid w:val="FDBDD16B"/>
    <w:rsid w:val="FDBF84E3"/>
    <w:rsid w:val="FDBFDE02"/>
    <w:rsid w:val="FDCFB69F"/>
    <w:rsid w:val="FDD209DE"/>
    <w:rsid w:val="FDDCE019"/>
    <w:rsid w:val="FDDDA52B"/>
    <w:rsid w:val="FDDF3EEC"/>
    <w:rsid w:val="FDEABE22"/>
    <w:rsid w:val="FDEE7291"/>
    <w:rsid w:val="FDEFBD3D"/>
    <w:rsid w:val="FDEFFE10"/>
    <w:rsid w:val="FDF6E2DE"/>
    <w:rsid w:val="FDF70C9C"/>
    <w:rsid w:val="FDF77BE4"/>
    <w:rsid w:val="FDF79372"/>
    <w:rsid w:val="FDF79DE5"/>
    <w:rsid w:val="FDFC2F48"/>
    <w:rsid w:val="FDFD1F95"/>
    <w:rsid w:val="FDFD4819"/>
    <w:rsid w:val="FDFDB725"/>
    <w:rsid w:val="FDFE0D98"/>
    <w:rsid w:val="FDFEE2D3"/>
    <w:rsid w:val="FDFF47FD"/>
    <w:rsid w:val="FDFFBEFC"/>
    <w:rsid w:val="FE159F5B"/>
    <w:rsid w:val="FE35F505"/>
    <w:rsid w:val="FE3979B7"/>
    <w:rsid w:val="FE3F9AA4"/>
    <w:rsid w:val="FE5E33F1"/>
    <w:rsid w:val="FE6B6690"/>
    <w:rsid w:val="FE734873"/>
    <w:rsid w:val="FE785F7E"/>
    <w:rsid w:val="FE7DB0B0"/>
    <w:rsid w:val="FE7F654D"/>
    <w:rsid w:val="FE7FC97E"/>
    <w:rsid w:val="FE7FCC8A"/>
    <w:rsid w:val="FE9B7E72"/>
    <w:rsid w:val="FE9FA3DF"/>
    <w:rsid w:val="FEAF7568"/>
    <w:rsid w:val="FEB2A60F"/>
    <w:rsid w:val="FEB9FA84"/>
    <w:rsid w:val="FEBB1AE6"/>
    <w:rsid w:val="FEBD2EC5"/>
    <w:rsid w:val="FEBDAEBD"/>
    <w:rsid w:val="FEBF6067"/>
    <w:rsid w:val="FEBF79A1"/>
    <w:rsid w:val="FEBFA58C"/>
    <w:rsid w:val="FED867E1"/>
    <w:rsid w:val="FEDDDA3A"/>
    <w:rsid w:val="FEDEE612"/>
    <w:rsid w:val="FEDF9EBD"/>
    <w:rsid w:val="FEDFD1C6"/>
    <w:rsid w:val="FEE79C7C"/>
    <w:rsid w:val="FEEDC9FA"/>
    <w:rsid w:val="FEEDF8D6"/>
    <w:rsid w:val="FEEF1301"/>
    <w:rsid w:val="FEEFBC1A"/>
    <w:rsid w:val="FEF2973C"/>
    <w:rsid w:val="FEFB695E"/>
    <w:rsid w:val="FEFC93B5"/>
    <w:rsid w:val="FEFD03EA"/>
    <w:rsid w:val="FEFD5E72"/>
    <w:rsid w:val="FEFDB373"/>
    <w:rsid w:val="FEFF20B3"/>
    <w:rsid w:val="FEFF6CA3"/>
    <w:rsid w:val="FEFF7708"/>
    <w:rsid w:val="FF174364"/>
    <w:rsid w:val="FF17FCFF"/>
    <w:rsid w:val="FF2FF71A"/>
    <w:rsid w:val="FF35938F"/>
    <w:rsid w:val="FF38A5ED"/>
    <w:rsid w:val="FF392615"/>
    <w:rsid w:val="FF3AA1CF"/>
    <w:rsid w:val="FF3BDABC"/>
    <w:rsid w:val="FF4EE254"/>
    <w:rsid w:val="FF541B17"/>
    <w:rsid w:val="FF57CE60"/>
    <w:rsid w:val="FF5948EE"/>
    <w:rsid w:val="FF5B1AF4"/>
    <w:rsid w:val="FF5EA743"/>
    <w:rsid w:val="FF5F27D6"/>
    <w:rsid w:val="FF5F6446"/>
    <w:rsid w:val="FF5FE579"/>
    <w:rsid w:val="FF6379AC"/>
    <w:rsid w:val="FF6B6BEE"/>
    <w:rsid w:val="FF6C6148"/>
    <w:rsid w:val="FF6DECD5"/>
    <w:rsid w:val="FF6F7EC6"/>
    <w:rsid w:val="FF6FBE7B"/>
    <w:rsid w:val="FF772411"/>
    <w:rsid w:val="FF77EF75"/>
    <w:rsid w:val="FF7B21B5"/>
    <w:rsid w:val="FF7BF951"/>
    <w:rsid w:val="FF7DD9D3"/>
    <w:rsid w:val="FF7E3564"/>
    <w:rsid w:val="FF7F27D1"/>
    <w:rsid w:val="FF7F2E98"/>
    <w:rsid w:val="FF7F4C31"/>
    <w:rsid w:val="FF7F7BF6"/>
    <w:rsid w:val="FF7F8504"/>
    <w:rsid w:val="FF97EE55"/>
    <w:rsid w:val="FF9EF279"/>
    <w:rsid w:val="FFA373B0"/>
    <w:rsid w:val="FFAD2A2D"/>
    <w:rsid w:val="FFB0A408"/>
    <w:rsid w:val="FFB74B6F"/>
    <w:rsid w:val="FFB814DD"/>
    <w:rsid w:val="FFB909BD"/>
    <w:rsid w:val="FFBCB072"/>
    <w:rsid w:val="FFBD10F3"/>
    <w:rsid w:val="FFBF8EC3"/>
    <w:rsid w:val="FFBFA811"/>
    <w:rsid w:val="FFBFD307"/>
    <w:rsid w:val="FFC550E9"/>
    <w:rsid w:val="FFC661E0"/>
    <w:rsid w:val="FFCF0325"/>
    <w:rsid w:val="FFD1FEFE"/>
    <w:rsid w:val="FFD3C6F8"/>
    <w:rsid w:val="FFDAB370"/>
    <w:rsid w:val="FFDB5553"/>
    <w:rsid w:val="FFDDD8DB"/>
    <w:rsid w:val="FFDECB6B"/>
    <w:rsid w:val="FFDF45B0"/>
    <w:rsid w:val="FFDFFA99"/>
    <w:rsid w:val="FFE3A09F"/>
    <w:rsid w:val="FFE3FE42"/>
    <w:rsid w:val="FFE6CDB1"/>
    <w:rsid w:val="FFECB3D6"/>
    <w:rsid w:val="FFECDBA8"/>
    <w:rsid w:val="FFEE0270"/>
    <w:rsid w:val="FFEE4655"/>
    <w:rsid w:val="FFEFD314"/>
    <w:rsid w:val="FFEFF4CD"/>
    <w:rsid w:val="FFF1E8C4"/>
    <w:rsid w:val="FFF30390"/>
    <w:rsid w:val="FFF70C4A"/>
    <w:rsid w:val="FFF777A4"/>
    <w:rsid w:val="FFF78F09"/>
    <w:rsid w:val="FFF993A1"/>
    <w:rsid w:val="FFF9B1D4"/>
    <w:rsid w:val="FFFB085D"/>
    <w:rsid w:val="FFFB926E"/>
    <w:rsid w:val="FFFB938F"/>
    <w:rsid w:val="FFFBC219"/>
    <w:rsid w:val="FFFBDE7D"/>
    <w:rsid w:val="FFFCD550"/>
    <w:rsid w:val="FFFD1F7C"/>
    <w:rsid w:val="FFFD27F7"/>
    <w:rsid w:val="FFFD30E6"/>
    <w:rsid w:val="FFFDC136"/>
    <w:rsid w:val="FFFDE3EC"/>
    <w:rsid w:val="FFFDFFFD"/>
    <w:rsid w:val="FFFE7047"/>
    <w:rsid w:val="FFFE8B36"/>
    <w:rsid w:val="FFFEE190"/>
    <w:rsid w:val="FFFF2635"/>
    <w:rsid w:val="FFFF3943"/>
    <w:rsid w:val="FFFF3D75"/>
    <w:rsid w:val="FFFF60A9"/>
    <w:rsid w:val="FFFF82EC"/>
    <w:rsid w:val="FFFF8635"/>
    <w:rsid w:val="FFFF887A"/>
    <w:rsid w:val="FFFF90D5"/>
    <w:rsid w:val="FFFF9B67"/>
    <w:rsid w:val="FFFFC28E"/>
    <w:rsid w:val="FFFFDC38"/>
    <w:rsid w:val="FFFFF847"/>
    <w:rsid w:val="FFFFF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40" w:beforeAutospacing="0" w:after="120" w:afterAutospacing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4">
    <w:name w:val="Body Text Indent 2"/>
    <w:basedOn w:val="1"/>
    <w:unhideWhenUsed/>
    <w:qFormat/>
    <w:uiPriority w:val="99"/>
    <w:pPr>
      <w:spacing w:line="600" w:lineRule="exact"/>
      <w:ind w:firstLine="560" w:firstLineChars="200"/>
    </w:pPr>
    <w:rPr>
      <w:rFonts w:ascii="仿宋" w:hAnsi="仿宋" w:eastAsia="仿宋_GB2312" w:cs="仿宋"/>
      <w:sz w:val="32"/>
      <w:szCs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FollowedHyperlink"/>
    <w:basedOn w:val="12"/>
    <w:qFormat/>
    <w:uiPriority w:val="0"/>
    <w:rPr>
      <w:color w:val="666666"/>
      <w:u w:val="none"/>
    </w:rPr>
  </w:style>
  <w:style w:type="character" w:styleId="15">
    <w:name w:val="Emphasis"/>
    <w:basedOn w:val="12"/>
    <w:qFormat/>
    <w:uiPriority w:val="0"/>
    <w:rPr>
      <w:i/>
    </w:rPr>
  </w:style>
  <w:style w:type="character" w:styleId="16">
    <w:name w:val="Hyperlink"/>
    <w:basedOn w:val="12"/>
    <w:qFormat/>
    <w:uiPriority w:val="0"/>
    <w:rPr>
      <w:color w:val="666666"/>
      <w:u w:val="none"/>
    </w:rPr>
  </w:style>
  <w:style w:type="character" w:customStyle="1" w:styleId="17">
    <w:name w:val="font0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2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img-span"/>
    <w:basedOn w:val="12"/>
    <w:qFormat/>
    <w:uiPriority w:val="0"/>
  </w:style>
  <w:style w:type="character" w:customStyle="1" w:styleId="20">
    <w:name w:val="slash"/>
    <w:basedOn w:val="12"/>
    <w:qFormat/>
    <w:uiPriority w:val="0"/>
  </w:style>
  <w:style w:type="character" w:customStyle="1" w:styleId="21">
    <w:name w:val="slash1"/>
    <w:basedOn w:val="12"/>
    <w:qFormat/>
    <w:uiPriority w:val="0"/>
    <w:rPr>
      <w:color w:val="333333"/>
    </w:rPr>
  </w:style>
  <w:style w:type="character" w:customStyle="1" w:styleId="22">
    <w:name w:val="qq_login_logo"/>
    <w:basedOn w:val="12"/>
    <w:qFormat/>
    <w:uiPriority w:val="0"/>
  </w:style>
  <w:style w:type="character" w:customStyle="1" w:styleId="23">
    <w:name w:val="ranknum"/>
    <w:basedOn w:val="12"/>
    <w:qFormat/>
    <w:uiPriority w:val="0"/>
    <w:rPr>
      <w:b/>
      <w:color w:val="4D4F53"/>
      <w:sz w:val="24"/>
      <w:szCs w:val="24"/>
    </w:rPr>
  </w:style>
  <w:style w:type="character" w:customStyle="1" w:styleId="24">
    <w:name w:val="total"/>
    <w:basedOn w:val="12"/>
    <w:qFormat/>
    <w:uiPriority w:val="0"/>
    <w:rPr>
      <w:sz w:val="16"/>
      <w:szCs w:val="16"/>
    </w:rPr>
  </w:style>
  <w:style w:type="character" w:customStyle="1" w:styleId="25">
    <w:name w:val="weibomod-usercard-followbtn6"/>
    <w:basedOn w:val="12"/>
    <w:qFormat/>
    <w:uiPriority w:val="0"/>
    <w:rPr>
      <w:color w:val="666666"/>
      <w:bdr w:val="single" w:color="D7D7D7" w:sz="4" w:space="0"/>
      <w:shd w:val="clear" w:fill="EAEAEA"/>
    </w:rPr>
  </w:style>
  <w:style w:type="character" w:customStyle="1" w:styleId="26">
    <w:name w:val="weibomod-usercard-followbtn7"/>
    <w:basedOn w:val="12"/>
    <w:qFormat/>
    <w:uiPriority w:val="0"/>
    <w:rPr>
      <w:color w:val="666666"/>
      <w:bdr w:val="single" w:color="D7D7D7" w:sz="4" w:space="0"/>
      <w:shd w:val="clear" w:fill="EAEAEA"/>
    </w:rPr>
  </w:style>
  <w:style w:type="character" w:customStyle="1" w:styleId="27">
    <w:name w:val="text-span"/>
    <w:basedOn w:val="12"/>
    <w:qFormat/>
    <w:uiPriority w:val="0"/>
    <w:rPr>
      <w:color w:val="333333"/>
      <w:sz w:val="16"/>
      <w:szCs w:val="16"/>
    </w:rPr>
  </w:style>
  <w:style w:type="character" w:customStyle="1" w:styleId="28">
    <w:name w:val="text-span1"/>
    <w:basedOn w:val="12"/>
    <w:qFormat/>
    <w:uiPriority w:val="0"/>
    <w:rPr>
      <w:color w:val="D33A2B"/>
    </w:rPr>
  </w:style>
  <w:style w:type="character" w:customStyle="1" w:styleId="29">
    <w:name w:val="icon-comment"/>
    <w:basedOn w:val="12"/>
    <w:qFormat/>
    <w:uiPriority w:val="0"/>
  </w:style>
  <w:style w:type="character" w:customStyle="1" w:styleId="30">
    <w:name w:val="hover61"/>
    <w:basedOn w:val="12"/>
    <w:qFormat/>
    <w:uiPriority w:val="0"/>
    <w:rPr>
      <w:color w:val="FFFF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4.xml"/><Relationship Id="rId8" Type="http://schemas.openxmlformats.org/officeDocument/2006/relationships/chart" Target="charts/chart3.xml"/><Relationship Id="rId7" Type="http://schemas.openxmlformats.org/officeDocument/2006/relationships/chart" Target="charts/chart2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chart" Target="charts/chart5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/media/GreatWall/7c9c0a5b-222e-418b-939a-8a83be0a37051/3.&#32479;&#35745;&#20844;&#25253;/2025&#24180;&#32479;&#35745;&#20844;&#25253;/&#22270;&#29255;/&#21508;&#19987;&#19994;&#22270;2025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oleObject" Target="/media/GreatWall/7c9c0a5b-222e-418b-939a-8a83be0a37051/3.&#32479;&#35745;&#20844;&#25253;/2025&#24180;&#32479;&#35745;&#20844;&#25253;/&#22270;&#29255;/&#21508;&#19987;&#19994;&#22270;2025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/home/GreatWall/Desktop/&#21508;&#19987;&#19994;&#22270;2025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/media/GreatWall/7c9c0a5b-222e-418b-939a-8a83be0a37051/3.&#32479;&#35745;&#20844;&#25253;/2025&#24180;&#32479;&#35745;&#20844;&#25253;/&#22270;&#29255;/&#21508;&#19987;&#19994;&#22270;2025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/media/GreatWall/7c9c0a5b-222e-418b-939a-8a83be0a37051/3.&#32479;&#35745;&#20844;&#25253;/2025&#24180;&#32479;&#35745;&#20844;&#25253;/&#22270;&#29255;/&#21508;&#19987;&#19994;&#22270;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[各专业图2025.xlsx]地区生产总值!$A$2</c:f>
              <c:strCache>
                <c:ptCount val="1"/>
                <c:pt idx="0">
                  <c:v>地区生产总值（亿元）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[各专业图2025.xlsx]地区生产总值!$B$1:$F$1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[各专业图2025.xlsx]地区生产总值!$B$2:$F$2</c:f>
              <c:numCache>
                <c:formatCode>0.00_ </c:formatCode>
                <c:ptCount val="5"/>
                <c:pt idx="0">
                  <c:v>5019.5525185764</c:v>
                </c:pt>
                <c:pt idx="1">
                  <c:v>5406.15109943737</c:v>
                </c:pt>
                <c:pt idx="2">
                  <c:v>5773.67740828728</c:v>
                </c:pt>
                <c:pt idx="3">
                  <c:v>6122.56</c:v>
                </c:pt>
                <c:pt idx="4">
                  <c:v>6464.42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67"/>
        <c:overlap val="8"/>
        <c:axId val="303423815"/>
        <c:axId val="467746898"/>
      </c:barChart>
      <c:lineChart>
        <c:grouping val="standard"/>
        <c:varyColors val="0"/>
        <c:ser>
          <c:idx val="1"/>
          <c:order val="1"/>
          <c:tx>
            <c:strRef>
              <c:f>[各专业图2025.xlsx]地区生产总值!$A$3</c:f>
              <c:strCache>
                <c:ptCount val="1"/>
                <c:pt idx="0">
                  <c:v>比上年增长（%）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0"/>
                  <c:y val="-0.027478818410808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0992326012172532"/>
                  <c:y val="-0.052363050483351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088677274063277"/>
                  <c:y val="-0.043966109457293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0125287167931323"/>
                  <c:y val="-0.04946187313945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0198465202434506"/>
                  <c:y val="-0.0080558539205155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[各专业图2025.xlsx]地区生产总值!$B$3:$F$3</c:f>
              <c:numCache>
                <c:formatCode>General</c:formatCode>
                <c:ptCount val="5"/>
                <c:pt idx="0">
                  <c:v>16.9</c:v>
                </c:pt>
                <c:pt idx="1">
                  <c:v>5.4</c:v>
                </c:pt>
                <c:pt idx="2">
                  <c:v>7.1</c:v>
                </c:pt>
                <c:pt idx="3">
                  <c:v>6.1</c:v>
                </c:pt>
                <c:pt idx="4" c:formatCode="0.0_ ">
                  <c:v>6.1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723885635"/>
        <c:axId val="136358688"/>
      </c:lineChart>
      <c:catAx>
        <c:axId val="30342381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67746898"/>
        <c:crosses val="autoZero"/>
        <c:auto val="1"/>
        <c:lblAlgn val="ctr"/>
        <c:lblOffset val="100"/>
        <c:noMultiLvlLbl val="0"/>
      </c:catAx>
      <c:valAx>
        <c:axId val="467746898"/>
        <c:scaling>
          <c:orientation val="minMax"/>
          <c:min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);[Red]\(0\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03423815"/>
        <c:crosses val="autoZero"/>
        <c:crossBetween val="between"/>
      </c:valAx>
      <c:catAx>
        <c:axId val="723885635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36358688"/>
        <c:crosses val="autoZero"/>
        <c:auto val="1"/>
        <c:lblAlgn val="ctr"/>
        <c:lblOffset val="100"/>
        <c:noMultiLvlLbl val="0"/>
      </c:catAx>
      <c:valAx>
        <c:axId val="136358688"/>
        <c:scaling>
          <c:orientation val="minMax"/>
          <c:max val="5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23885635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757972303392199"/>
          <c:y val="0.0436247893652874"/>
          <c:w val="0.894473383305806"/>
          <c:h val="0.7907507957311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[各专业图2025.xlsx]粮食产量!$A$2</c:f>
              <c:strCache>
                <c:ptCount val="1"/>
                <c:pt idx="0">
                  <c:v>地区生产总值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[各专业图2025.xlsx]粮食产量!$B$1:$F$1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[各专业图2025.xlsx]粮食产量!$B$2:$F$2</c:f>
              <c:numCache>
                <c:formatCode>0.00_ </c:formatCode>
                <c:ptCount val="5"/>
                <c:pt idx="0">
                  <c:v>153.37</c:v>
                </c:pt>
                <c:pt idx="1">
                  <c:v>151.06</c:v>
                </c:pt>
                <c:pt idx="2">
                  <c:v>153.48</c:v>
                </c:pt>
                <c:pt idx="3">
                  <c:v>153.7</c:v>
                </c:pt>
                <c:pt idx="4">
                  <c:v>154.32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67"/>
        <c:overlap val="8"/>
        <c:axId val="303423815"/>
        <c:axId val="467746898"/>
      </c:barChart>
      <c:lineChart>
        <c:grouping val="standard"/>
        <c:varyColors val="0"/>
        <c:ser>
          <c:idx val="1"/>
          <c:order val="1"/>
          <c:tx>
            <c:strRef>
              <c:f>[各专业图2025.xlsx]粮食产量!#REF!</c:f>
              <c:strCache>
                <c:ptCount val="1"/>
                <c:pt idx="0">
                  <c:v/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0"/>
                  <c:y val="-0.027478818410808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[各专业图2025.xlsx]粮食产量!#REF!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723885635"/>
        <c:axId val="136358688"/>
      </c:lineChart>
      <c:catAx>
        <c:axId val="30342381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67746898"/>
        <c:crosses val="autoZero"/>
        <c:auto val="1"/>
        <c:lblAlgn val="ctr"/>
        <c:lblOffset val="100"/>
        <c:noMultiLvlLbl val="0"/>
      </c:catAx>
      <c:valAx>
        <c:axId val="467746898"/>
        <c:scaling>
          <c:orientation val="minMax"/>
          <c:max val="200"/>
          <c:min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);[Red]\(0\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03423815"/>
        <c:crosses val="autoZero"/>
        <c:crossBetween val="between"/>
      </c:valAx>
      <c:catAx>
        <c:axId val="723885635"/>
        <c:scaling>
          <c:orientation val="minMax"/>
        </c:scaling>
        <c:delete val="1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t>万吨</a:t>
                </a:r>
              </a:p>
            </c:rich>
          </c:tx>
          <c:layout>
            <c:manualLayout>
              <c:xMode val="edge"/>
              <c:yMode val="edge"/>
              <c:x val="0.00426196902969172"/>
              <c:y val="0.00988342625443487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36358688"/>
        <c:crosses val="autoZero"/>
        <c:auto val="1"/>
        <c:lblAlgn val="ctr"/>
        <c:lblOffset val="100"/>
        <c:noMultiLvlLbl val="0"/>
      </c:catAx>
      <c:valAx>
        <c:axId val="136358688"/>
        <c:scaling>
          <c:orientation val="minMax"/>
          <c:max val="40"/>
        </c:scaling>
        <c:delete val="1"/>
        <c:axPos val="r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23885635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[各专业图2025.xlsx]投资!$B$1</c:f>
              <c:strCache>
                <c:ptCount val="1"/>
                <c:pt idx="0">
                  <c:v>比重（%
）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00883496289315585"/>
                  <c:y val="0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第一产业</a:t>
                    </a:r>
                    <a:r>
                      <a:rPr lang="en-US" altLang="zh-CN"/>
                      <a:t>1.1%</a:t>
                    </a:r>
                    <a:endParaRPr lang="en-US" altLang="zh-CN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7002141327623"/>
                      <c:h val="0.107344632768362"/>
                    </c:manualLayout>
                  </c15:layout>
                </c:ext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第二产业</a:t>
                    </a:r>
                  </a:p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46.</a:t>
                    </a:r>
                    <a:r>
                      <a:rPr lang="en-US" altLang="zh-CN"/>
                      <a:t>7</a:t>
                    </a:r>
                    <a:r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第三产业</a:t>
                    </a:r>
                  </a:p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5</a:t>
                    </a:r>
                    <a:r>
                      <a:rPr lang="en-US" altLang="zh-CN"/>
                      <a:t>2.2</a:t>
                    </a:r>
                    <a:r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[各专业图2025.xlsx]投资!$A$2:$A$4</c:f>
              <c:strCache>
                <c:ptCount val="3"/>
                <c:pt idx="0">
                  <c:v>     第一产业 </c:v>
                </c:pt>
                <c:pt idx="1">
                  <c:v>     第二产业 </c:v>
                </c:pt>
                <c:pt idx="2">
                  <c:v>     第三产业 </c:v>
                </c:pt>
              </c:strCache>
            </c:strRef>
          </c:cat>
          <c:val>
            <c:numRef>
              <c:f>[各专业图2025.xlsx]投资!$B$2:$B$4</c:f>
              <c:numCache>
                <c:formatCode>0.0%</c:formatCode>
                <c:ptCount val="3"/>
                <c:pt idx="0">
                  <c:v>0.011</c:v>
                </c:pt>
                <c:pt idx="1">
                  <c:v>0.467</c:v>
                </c:pt>
                <c:pt idx="2">
                  <c:v>0.522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[各专业图2025.xlsx]社零!$A$2</c:f>
              <c:strCache>
                <c:ptCount val="1"/>
                <c:pt idx="0">
                  <c:v>社会消费品零售总额（亿元）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[各专业图2025.xlsx]社零!$B$1:$F$1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[各专业图2025.xlsx]社零!$B$2:$F$2</c:f>
              <c:numCache>
                <c:formatCode>0.00_ </c:formatCode>
                <c:ptCount val="5"/>
                <c:pt idx="0">
                  <c:v>1857.47</c:v>
                </c:pt>
                <c:pt idx="1">
                  <c:v>1953.07</c:v>
                </c:pt>
                <c:pt idx="2">
                  <c:v>2156.09</c:v>
                </c:pt>
                <c:pt idx="3">
                  <c:v>2275.94</c:v>
                </c:pt>
                <c:pt idx="4">
                  <c:v>2376.24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95588215"/>
        <c:axId val="953588916"/>
      </c:barChart>
      <c:lineChart>
        <c:grouping val="standard"/>
        <c:varyColors val="0"/>
        <c:ser>
          <c:idx val="1"/>
          <c:order val="1"/>
          <c:tx>
            <c:strRef>
              <c:f>[各专业图2025.xlsx]社零!$A$3</c:f>
              <c:strCache>
                <c:ptCount val="1"/>
                <c:pt idx="0">
                  <c:v>比上年增长（%）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0.0206831594680802"/>
                  <c:y val="-0.030726904141326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114502596422023"/>
                  <c:y val="-0.043759050101361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0738362327996673"/>
                  <c:y val="-0.030898252727097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123825061250905"/>
                  <c:y val="-0.025342697171541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136676194585265"/>
                  <c:y val="-0.019273095858673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[各专业图2025.xlsx]社零!$B$3:$F$3</c:f>
              <c:numCache>
                <c:formatCode>0.0_ </c:formatCode>
                <c:ptCount val="5"/>
                <c:pt idx="0">
                  <c:v>31.4</c:v>
                </c:pt>
                <c:pt idx="1">
                  <c:v>5.1</c:v>
                </c:pt>
                <c:pt idx="2">
                  <c:v>10.4</c:v>
                </c:pt>
                <c:pt idx="3">
                  <c:v>5.6</c:v>
                </c:pt>
                <c:pt idx="4">
                  <c:v>4.4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391806362"/>
        <c:axId val="398762752"/>
      </c:lineChart>
      <c:catAx>
        <c:axId val="29558821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53588916"/>
        <c:crosses val="autoZero"/>
        <c:auto val="1"/>
        <c:lblAlgn val="ctr"/>
        <c:lblOffset val="100"/>
        <c:noMultiLvlLbl val="0"/>
      </c:catAx>
      <c:valAx>
        <c:axId val="953588916"/>
        <c:scaling>
          <c:orientation val="minMax"/>
          <c:max val="25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);[Red]\(0\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95588215"/>
        <c:crosses val="autoZero"/>
        <c:crossBetween val="between"/>
      </c:valAx>
      <c:catAx>
        <c:axId val="391806362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98762752"/>
        <c:crosses val="autoZero"/>
        <c:auto val="1"/>
        <c:lblAlgn val="ctr"/>
        <c:lblOffset val="100"/>
        <c:noMultiLvlLbl val="0"/>
      </c:catAx>
      <c:valAx>
        <c:axId val="398762752"/>
        <c:scaling>
          <c:orientation val="minMax"/>
          <c:max val="100"/>
          <c:min val="-20"/>
        </c:scaling>
        <c:delete val="0"/>
        <c:axPos val="r"/>
        <c:numFmt formatCode="0.0_ 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91806362"/>
        <c:crosses val="max"/>
        <c:crossBetween val="between"/>
        <c:majorUnit val="3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100"/>
              <a:t>亿元</a:t>
            </a:r>
            <a:endParaRPr sz="1100"/>
          </a:p>
        </c:rich>
      </c:tx>
      <c:layout>
        <c:manualLayout>
          <c:xMode val="edge"/>
          <c:yMode val="edge"/>
          <c:x val="0.00384615384615385"/>
          <c:y val="0.047536644951140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'[各专业图2025.xlsx]进出额 2'!$A$2</c:f>
              <c:strCache>
                <c:ptCount val="1"/>
                <c:pt idx="0">
                  <c:v>出口额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'[各专业图2025.xlsx]进出额 2'!$B$2:$F$2</c:f>
              <c:numCache>
                <c:formatCode>0.0_ </c:formatCode>
                <c:ptCount val="5"/>
                <c:pt idx="0">
                  <c:v>307.2</c:v>
                </c:pt>
                <c:pt idx="1">
                  <c:v>365.9</c:v>
                </c:pt>
                <c:pt idx="2">
                  <c:v>380.7</c:v>
                </c:pt>
                <c:pt idx="3">
                  <c:v>400.3</c:v>
                </c:pt>
                <c:pt idx="4">
                  <c:v>443.6</c:v>
                </c:pt>
              </c:numCache>
            </c:numRef>
          </c:val>
        </c:ser>
        <c:ser>
          <c:idx val="1"/>
          <c:order val="1"/>
          <c:tx>
            <c:strRef>
              <c:f>'[各专业图2025.xlsx]进出额 2'!$A$3</c:f>
              <c:strCache>
                <c:ptCount val="1"/>
                <c:pt idx="0">
                  <c:v>进口额</c:v>
                </c:pt>
              </c:strCache>
            </c:strRef>
          </c:tx>
          <c:spPr>
            <a:gradFill>
              <a:gsLst>
                <a:gs pos="100000">
                  <a:srgbClr val="FE4444"/>
                </a:gs>
                <a:gs pos="100000">
                  <a:srgbClr val="832B2B"/>
                </a:gs>
              </a:gsLst>
              <a:lin ang="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0019230769230769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'[各专业图2025.xlsx]进出额 2'!$B$3:$F$3</c:f>
              <c:numCache>
                <c:formatCode>0.0_ </c:formatCode>
                <c:ptCount val="5"/>
                <c:pt idx="0">
                  <c:v>31.3</c:v>
                </c:pt>
                <c:pt idx="1">
                  <c:v>48.8</c:v>
                </c:pt>
                <c:pt idx="2">
                  <c:v>65</c:v>
                </c:pt>
                <c:pt idx="3">
                  <c:v>97.8</c:v>
                </c:pt>
                <c:pt idx="4">
                  <c:v>100.9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89910361"/>
        <c:axId val="413788833"/>
      </c:barChart>
      <c:catAx>
        <c:axId val="289910361"/>
        <c:scaling>
          <c:orientation val="minMax"/>
        </c:scaling>
        <c:delete val="0"/>
        <c:axPos val="b"/>
        <c:numFmt formatCode="\20\2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13788833"/>
        <c:crosses val="autoZero"/>
        <c:auto val="1"/>
        <c:lblAlgn val="ctr"/>
        <c:lblOffset val="100"/>
        <c:noMultiLvlLbl val="0"/>
      </c:catAx>
      <c:valAx>
        <c:axId val="41378883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 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89910361"/>
        <c:crossesAt val="1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Office_11.8.2.1123_F1E327BC-269C-435d-A152-05C5408002CA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2021-03-29T22:17:00Z</dcterms:created>
  <dc:creator>dx</dc:creator>
  <cp:lastModifiedBy>GreatWall</cp:lastModifiedBy>
  <cp:lastPrinted>2026-04-15T10:40:00Z</cp:lastPrinted>
  <dcterms:modified xsi:type="dcterms:W3CDTF">2026-04-20T09:46:20Z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2052-11.8.2.1123</vt:lpwstr>
  </property>
  <property fmtid="{D5CDD505-2E9C-101B-9397-08002B2CF9AE}" pid="3" name="ICV">
    <vt:lpwstr>02AC1C399DACA93689EBDE690DD42A53</vt:lpwstr>
  </property>
</Properties>
</file>