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D6" w:rsidRDefault="00350BD6">
      <w:pPr>
        <w:widowControl/>
        <w:jc w:val="center"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350BD6" w:rsidRDefault="00350BD6">
      <w:pPr>
        <w:widowControl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350BD6" w:rsidRDefault="007427C7">
      <w:pPr>
        <w:widowControl/>
        <w:spacing w:line="560" w:lineRule="exact"/>
        <w:jc w:val="center"/>
        <w:outlineLvl w:val="1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202</w:t>
      </w:r>
      <w:r>
        <w:rPr>
          <w:rFonts w:ascii="黑体" w:eastAsia="黑体" w:hAnsi="黑体" w:cs="Helvetica"/>
          <w:kern w:val="0"/>
          <w:sz w:val="44"/>
          <w:szCs w:val="44"/>
        </w:rPr>
        <w:t>4</w:t>
      </w:r>
      <w:r>
        <w:rPr>
          <w:rFonts w:ascii="黑体" w:eastAsia="黑体" w:hAnsi="黑体" w:cs="Helvetica" w:hint="eastAsia"/>
          <w:kern w:val="0"/>
          <w:sz w:val="44"/>
          <w:szCs w:val="44"/>
        </w:rPr>
        <w:t>年湖北</w:t>
      </w:r>
      <w:r>
        <w:rPr>
          <w:rFonts w:ascii="黑体" w:eastAsia="黑体" w:hAnsi="黑体" w:cs="Helvetica"/>
          <w:kern w:val="0"/>
          <w:sz w:val="44"/>
          <w:szCs w:val="44"/>
        </w:rPr>
        <w:t>省统计局</w:t>
      </w:r>
      <w:r>
        <w:rPr>
          <w:rFonts w:ascii="黑体" w:eastAsia="黑体" w:hAnsi="黑体" w:cs="Helvetica" w:hint="eastAsia"/>
          <w:kern w:val="0"/>
          <w:sz w:val="44"/>
          <w:szCs w:val="44"/>
        </w:rPr>
        <w:t>兴山经济社会调查队</w:t>
      </w:r>
    </w:p>
    <w:p w:rsidR="00350BD6" w:rsidRDefault="007427C7">
      <w:pPr>
        <w:widowControl/>
        <w:spacing w:line="560" w:lineRule="exact"/>
        <w:jc w:val="center"/>
        <w:outlineLvl w:val="1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预算公开情况</w:t>
      </w:r>
      <w:r>
        <w:rPr>
          <w:rFonts w:ascii="黑体" w:eastAsia="黑体" w:hAnsi="黑体" w:cs="Helvetica"/>
          <w:kern w:val="0"/>
          <w:sz w:val="44"/>
          <w:szCs w:val="44"/>
        </w:rPr>
        <w:t>说明</w:t>
      </w:r>
    </w:p>
    <w:p w:rsidR="00350BD6" w:rsidRDefault="007427C7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kern w:val="0"/>
          <w:szCs w:val="21"/>
        </w:rPr>
        <w:t xml:space="preserve">　　</w:t>
      </w:r>
      <w:r>
        <w:rPr>
          <w:rFonts w:ascii="微软雅黑" w:eastAsia="微软雅黑" w:hAnsi="微软雅黑" w:cs="Helvetica" w:hint="eastAsia"/>
          <w:kern w:val="0"/>
          <w:szCs w:val="21"/>
        </w:rPr>
        <w:t xml:space="preserve">                         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Helvetica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 xml:space="preserve"> </w:t>
      </w:r>
    </w:p>
    <w:p w:rsidR="00350BD6" w:rsidRDefault="00350BD6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350BD6" w:rsidRDefault="00350BD6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350BD6" w:rsidRDefault="007427C7">
      <w:pPr>
        <w:widowControl/>
        <w:jc w:val="center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目录</w:t>
      </w:r>
    </w:p>
    <w:p w:rsidR="00350BD6" w:rsidRDefault="00350BD6">
      <w:pPr>
        <w:widowControl/>
        <w:spacing w:line="48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Helvetica"/>
          <w:bCs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单位主要职责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二、机构设置情况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三、预算收支及增减变化情况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四、机关运行经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费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安排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情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五、一般公共预算“三公”经费及增减变化情况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Helvetica"/>
          <w:bCs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政府采购预算安排情况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七、国有资产占用情况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八、重点项目预算绩效情况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九、其他需要说明的情况</w:t>
      </w:r>
    </w:p>
    <w:p w:rsidR="00350BD6" w:rsidRDefault="007427C7">
      <w:pPr>
        <w:widowControl/>
        <w:spacing w:line="480" w:lineRule="auto"/>
        <w:ind w:firstLineChars="200" w:firstLine="640"/>
        <w:jc w:val="left"/>
        <w:rPr>
          <w:rFonts w:ascii="黑体" w:eastAsia="黑体" w:hAnsi="黑体" w:cs="Helvetica"/>
          <w:b/>
          <w:kern w:val="0"/>
          <w:sz w:val="32"/>
          <w:szCs w:val="32"/>
        </w:rPr>
      </w:pP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十</w:t>
      </w:r>
      <w:r>
        <w:rPr>
          <w:rFonts w:ascii="黑体" w:eastAsia="黑体" w:hAnsi="黑体" w:cs="Helvetica"/>
          <w:bCs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bCs/>
          <w:kern w:val="0"/>
          <w:sz w:val="32"/>
          <w:szCs w:val="32"/>
        </w:rPr>
        <w:t>专业名词解释</w:t>
      </w:r>
    </w:p>
    <w:p w:rsidR="00350BD6" w:rsidRDefault="007427C7">
      <w:pPr>
        <w:widowControl/>
        <w:spacing w:line="500" w:lineRule="exact"/>
        <w:rPr>
          <w:rFonts w:asciiTheme="majorEastAsia" w:eastAsiaTheme="majorEastAsia" w:hAnsiTheme="majorEastAsia" w:cs="Helvetica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b/>
          <w:kern w:val="0"/>
          <w:sz w:val="24"/>
          <w:szCs w:val="24"/>
        </w:rPr>
        <w:t xml:space="preserve">　　</w:t>
      </w:r>
    </w:p>
    <w:p w:rsidR="00350BD6" w:rsidRDefault="007427C7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b/>
          <w:kern w:val="0"/>
          <w:sz w:val="24"/>
          <w:szCs w:val="24"/>
        </w:rPr>
        <w:t xml:space="preserve"> </w:t>
      </w:r>
    </w:p>
    <w:p w:rsidR="00350BD6" w:rsidRDefault="00350BD6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350BD6" w:rsidRDefault="00350BD6">
      <w:pPr>
        <w:widowControl/>
        <w:spacing w:line="520" w:lineRule="exact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350BD6" w:rsidRDefault="00350BD6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350BD6" w:rsidRDefault="00350BD6">
      <w:pPr>
        <w:widowControl/>
        <w:spacing w:line="520" w:lineRule="exact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一、单位主要职责</w:t>
      </w:r>
    </w:p>
    <w:p w:rsidR="00350BD6" w:rsidRDefault="007427C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实施所辖区域统计数据质量核查工作；配合省局开展统计执法检查工作；承担上级调查机构布置的所辖区域内“四下”单位抽样调查工作；承担省局和省调查监测中心安排的重大战略监测、各项专项调查及其他工作；协助地方统计局完成大型国情国力调查。</w:t>
      </w:r>
    </w:p>
    <w:p w:rsidR="00350BD6" w:rsidRDefault="007427C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二、机构设置情况</w:t>
      </w:r>
    </w:p>
    <w:p w:rsidR="00350BD6" w:rsidRDefault="007427C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个内设机构：调查监测一科、调查监测二科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>
        <w:rPr>
          <w:rFonts w:ascii="楷体" w:eastAsia="楷体" w:hAnsi="楷体" w:cs="Helvetica" w:hint="eastAsia"/>
          <w:bCs/>
          <w:color w:val="333333"/>
          <w:kern w:val="0"/>
          <w:sz w:val="32"/>
          <w:szCs w:val="32"/>
        </w:rPr>
        <w:t>1.</w:t>
      </w:r>
      <w:r>
        <w:rPr>
          <w:rFonts w:ascii="楷体" w:eastAsia="楷体" w:hAnsi="楷体" w:cs="Helvetica" w:hint="eastAsia"/>
          <w:bCs/>
          <w:color w:val="333333"/>
          <w:kern w:val="0"/>
          <w:sz w:val="32"/>
          <w:szCs w:val="32"/>
        </w:rPr>
        <w:t>调查监测一科的主要职责是</w:t>
      </w:r>
      <w:r>
        <w:rPr>
          <w:rFonts w:ascii="楷体" w:eastAsia="楷体" w:hAnsi="楷体" w:cs="Helvetica" w:hint="eastAsia"/>
          <w:bCs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负责统计数据质量监测和核查；负责调查队的日常管理和综合协调；开展相关统计调查和监测工作；参与统计执法相关工作；参与大型国情国力调查等重大统计工作；协助地方统计局开展相关工作；完成省统计局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省统计局调查监测中心和宜昌调查监测分局交办的其他工作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楷体" w:eastAsia="楷体" w:hAnsi="楷体" w:cs="Helvetica"/>
          <w:bCs/>
          <w:color w:val="333333"/>
          <w:kern w:val="0"/>
          <w:sz w:val="32"/>
          <w:szCs w:val="32"/>
        </w:rPr>
        <w:t>2.</w:t>
      </w:r>
      <w:r>
        <w:rPr>
          <w:rFonts w:ascii="楷体" w:eastAsia="楷体" w:hAnsi="楷体" w:cs="Helvetica" w:hint="eastAsia"/>
          <w:bCs/>
          <w:color w:val="333333"/>
          <w:kern w:val="0"/>
          <w:sz w:val="32"/>
          <w:szCs w:val="32"/>
        </w:rPr>
        <w:t>调查监测二科的主要职责是</w:t>
      </w:r>
      <w:r>
        <w:rPr>
          <w:rFonts w:ascii="楷体" w:eastAsia="楷体" w:hAnsi="楷体" w:cs="Helvetica" w:hint="eastAsia"/>
          <w:bCs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负责统计数据质量监测和核查；开展相关统计调查和监测工作；开展统计执法相关工作；参与大型国情国力调查等重大统计工作；协助地方统计局开展相关工作；完成省统计局、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省统计局调查监测中心和宜昌调查监测分局交办的其他工作</w:t>
      </w:r>
      <w:r>
        <w:rPr>
          <w:rFonts w:ascii="仿宋" w:eastAsia="仿宋" w:hAnsi="仿宋" w:cs="Helvetica" w:hint="eastAsia"/>
          <w:kern w:val="0"/>
          <w:sz w:val="32"/>
          <w:szCs w:val="32"/>
        </w:rPr>
        <w:t>。</w:t>
      </w:r>
    </w:p>
    <w:p w:rsidR="00350BD6" w:rsidRDefault="007427C7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三、预算收支及增减变化情况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楷体" w:eastAsia="楷体" w:hAnsi="楷体" w:cs="Helvetica"/>
          <w:b/>
          <w:bCs/>
          <w:kern w:val="0"/>
          <w:sz w:val="32"/>
          <w:szCs w:val="32"/>
        </w:rPr>
      </w:pPr>
      <w:r>
        <w:rPr>
          <w:rFonts w:ascii="楷体" w:eastAsia="楷体" w:hAnsi="楷体" w:cs="Helvetica"/>
          <w:kern w:val="0"/>
          <w:sz w:val="32"/>
          <w:szCs w:val="32"/>
        </w:rPr>
        <w:t>1.</w:t>
      </w:r>
      <w:r>
        <w:rPr>
          <w:rFonts w:ascii="楷体" w:eastAsia="楷体" w:hAnsi="楷体" w:cs="Helvetica" w:hint="eastAsia"/>
          <w:kern w:val="0"/>
          <w:sz w:val="32"/>
          <w:szCs w:val="32"/>
        </w:rPr>
        <w:t>预算收入情况</w:t>
      </w:r>
      <w:r>
        <w:rPr>
          <w:rFonts w:ascii="楷体" w:eastAsia="楷体" w:hAnsi="楷体" w:cs="Helvetica" w:hint="eastAsia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年预算收入为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69.76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12.52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21.87%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，主要原因是：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新进人员。其中：一般公共预算拨款收入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69.76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12.52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21.87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Helvetica" w:hint="eastAsia"/>
          <w:kern w:val="0"/>
          <w:sz w:val="32"/>
          <w:szCs w:val="32"/>
        </w:rPr>
        <w:t>2</w:t>
      </w:r>
      <w:r>
        <w:rPr>
          <w:rFonts w:ascii="楷体" w:eastAsia="楷体" w:hAnsi="楷体" w:cs="Helvetica"/>
          <w:kern w:val="0"/>
          <w:sz w:val="32"/>
          <w:szCs w:val="32"/>
        </w:rPr>
        <w:t>.</w:t>
      </w:r>
      <w:r>
        <w:rPr>
          <w:rFonts w:ascii="楷体" w:eastAsia="楷体" w:hAnsi="楷体" w:cs="Helvetica" w:hint="eastAsia"/>
          <w:kern w:val="0"/>
          <w:sz w:val="32"/>
          <w:szCs w:val="32"/>
        </w:rPr>
        <w:t>预算支</w:t>
      </w:r>
      <w:r>
        <w:rPr>
          <w:rFonts w:ascii="楷体" w:eastAsia="楷体" w:hAnsi="楷体" w:cs="Helvetica"/>
          <w:kern w:val="0"/>
          <w:sz w:val="32"/>
          <w:szCs w:val="32"/>
        </w:rPr>
        <w:t>出</w:t>
      </w:r>
      <w:r>
        <w:rPr>
          <w:rFonts w:ascii="楷体" w:eastAsia="楷体" w:hAnsi="楷体" w:cs="Helvetica" w:hint="eastAsia"/>
          <w:kern w:val="0"/>
          <w:sz w:val="32"/>
          <w:szCs w:val="32"/>
        </w:rPr>
        <w:t>情况：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年预算支出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69.76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12.52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21.87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。其中：一般公共服务支出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38.10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4.97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11.54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；社会保障和就业支出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29.56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18.70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172.19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；住房保障支出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36.56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支出增加原因：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年基本支出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65.76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13.52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25.88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主要原因：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新进人员。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年项目支出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，主要原因：本年预算与上年一致。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四、机关运行经费安排情况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年机关运行经费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6.60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万元，较上年相比增加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0.60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0.10%,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增加主要原因是：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名新进人员，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支出相对增多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。其中：办公费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0.48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万元，印刷费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万元，水费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0.60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万元，差旅费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0.60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万元，委托业务费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0.70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万元，工会经费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0.40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万元，福利费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0.50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万元，其他交通费用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1.92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万元，其他商品和服务支出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1.16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五、一般公共预算“三公”经费及增减变化情况</w:t>
      </w:r>
    </w:p>
    <w:p w:rsidR="00491CF2" w:rsidRDefault="00491CF2" w:rsidP="00491CF2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2024年“三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公”经费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财政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拨款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预算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万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元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比上年预算减少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万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元，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0%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其中：</w:t>
      </w:r>
    </w:p>
    <w:p w:rsidR="00491CF2" w:rsidRDefault="00491CF2" w:rsidP="00491CF2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1.因公出国（境）费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因公出国由省局机关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491CF2" w:rsidRDefault="00491CF2" w:rsidP="00491CF2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2.公务接待费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</w:t>
      </w:r>
      <w:r>
        <w:rPr>
          <w:rFonts w:ascii="仿宋" w:eastAsia="仿宋" w:hAnsi="仿宋" w:cs="Arial"/>
          <w:sz w:val="32"/>
          <w:szCs w:val="32"/>
        </w:rPr>
        <w:t>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公务接待由县局机关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491CF2" w:rsidRDefault="00491CF2" w:rsidP="00491CF2">
      <w:pPr>
        <w:widowControl/>
        <w:spacing w:line="52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3.公务用车购置及运行维护费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万元，其中</w:t>
      </w:r>
      <w:r>
        <w:rPr>
          <w:rFonts w:ascii="仿宋_GB2312" w:eastAsia="仿宋_GB2312"/>
          <w:sz w:val="32"/>
        </w:rPr>
        <w:t>：公务用车购置0万元，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原因是：公务用车购置</w:t>
      </w:r>
      <w:r>
        <w:rPr>
          <w:rFonts w:ascii="仿宋" w:eastAsia="仿宋" w:hAnsi="仿宋" w:cs="Arial" w:hint="eastAsia"/>
          <w:sz w:val="32"/>
          <w:szCs w:val="32"/>
        </w:rPr>
        <w:t>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  <w:r>
        <w:rPr>
          <w:rFonts w:ascii="仿宋" w:eastAsia="仿宋" w:hAnsi="仿宋" w:cs="Arial" w:hint="eastAsia"/>
          <w:sz w:val="32"/>
          <w:szCs w:val="32"/>
        </w:rPr>
        <w:t>公务用车运行维护费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万元,</w:t>
      </w:r>
      <w:r>
        <w:rPr>
          <w:rFonts w:ascii="仿宋_GB2312" w:eastAsia="仿宋_GB2312" w:hint="eastAsia"/>
          <w:sz w:val="32"/>
        </w:rPr>
        <w:t xml:space="preserve"> 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公务用车运行由县局机关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六、政府采购</w:t>
      </w:r>
      <w:r>
        <w:rPr>
          <w:rFonts w:ascii="黑体" w:eastAsia="黑体" w:hAnsi="黑体" w:cs="Helvetica" w:hint="eastAsia"/>
          <w:kern w:val="0"/>
          <w:sz w:val="32"/>
          <w:szCs w:val="32"/>
        </w:rPr>
        <w:t>预算</w:t>
      </w:r>
      <w:r>
        <w:rPr>
          <w:rFonts w:ascii="黑体" w:eastAsia="黑体" w:hAnsi="黑体" w:cs="Helvetica" w:hint="eastAsia"/>
          <w:kern w:val="0"/>
          <w:sz w:val="32"/>
          <w:szCs w:val="32"/>
        </w:rPr>
        <w:t>安排</w:t>
      </w:r>
      <w:r>
        <w:rPr>
          <w:rFonts w:ascii="黑体" w:eastAsia="黑体" w:hAnsi="黑体" w:cs="Helvetica" w:hint="eastAsia"/>
          <w:kern w:val="0"/>
          <w:sz w:val="32"/>
          <w:szCs w:val="32"/>
        </w:rPr>
        <w:t>情况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年我单位编制政府采购预算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万元，比上年度减少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0%,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主要原因：我单位无政府采购预算。其中：货物类政府采购预算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万元，主要用于无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工程类政府采购预算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万元，主要用于无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服务类政府采购预算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万元，主要用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于无。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年，面向中小企业采购预算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万元，其中面向小微企业采购预算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七、国有资产占用情况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截至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年，我单位占有房屋面积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平方米，其中：办公用房建筑面积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平方米，其他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平方米。公务用车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辆，其中：副省级干部及上以领导干部用车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辆、机要通信用车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辆、应急保障用车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辆、执法勤用车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辆、特种专业技术用车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辆、其他用车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辆，其他用车主要是无。单价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以上的通用设备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台（套），单价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万元以上的专用设备数量为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台（套）。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八、重点项</w:t>
      </w:r>
      <w:r>
        <w:rPr>
          <w:rFonts w:ascii="黑体" w:eastAsia="黑体" w:hAnsi="黑体" w:cs="Helvetica" w:hint="eastAsia"/>
          <w:kern w:val="0"/>
          <w:sz w:val="32"/>
          <w:szCs w:val="32"/>
        </w:rPr>
        <w:t>目</w:t>
      </w:r>
      <w:r>
        <w:rPr>
          <w:rFonts w:ascii="黑体" w:eastAsia="黑体" w:hAnsi="黑体" w:cs="Helvetica" w:hint="eastAsia"/>
          <w:kern w:val="0"/>
          <w:sz w:val="32"/>
          <w:szCs w:val="32"/>
        </w:rPr>
        <w:t>预算</w:t>
      </w:r>
      <w:r>
        <w:rPr>
          <w:rFonts w:ascii="黑体" w:eastAsia="黑体" w:hAnsi="黑体" w:cs="Helvetica" w:hint="eastAsia"/>
          <w:kern w:val="0"/>
          <w:sz w:val="32"/>
          <w:szCs w:val="32"/>
        </w:rPr>
        <w:t>绩效情</w:t>
      </w:r>
      <w:r>
        <w:rPr>
          <w:rFonts w:ascii="黑体" w:eastAsia="黑体" w:hAnsi="黑体" w:cs="Helvetica" w:hint="eastAsia"/>
          <w:kern w:val="0"/>
          <w:sz w:val="32"/>
          <w:szCs w:val="32"/>
        </w:rPr>
        <w:t>况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“全省统计执法专项经费”项目主要内容是：一是开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展执法检查、督办以及数据质量核查；二是开展统计执法宣传；三是其他应急执法检查和专项检查任务。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年预算安排</w:t>
      </w:r>
      <w:r w:rsidR="00491CF2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万元，全部为当年一般公共预算财政拨款。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项目绩效年度目标：健全统计执法机制，强化统计基层基础工作建设，落实执法业务培训，完成全县地方统计调查数据的质量监测和核查工作。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ab/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数量指标：“四下”企业核查数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家；数据质量检查频次≥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次；统计监测执法培训次数≥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次。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质量指标：办公用品采购验收通过率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社会效益指标：弥补基本支出保障度≥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服务对象满意度：政府部门及社会公众满意度≥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85%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九、其他需要说明的情况</w:t>
      </w:r>
    </w:p>
    <w:p w:rsidR="00350BD6" w:rsidRDefault="007427C7">
      <w:pPr>
        <w:pStyle w:val="a6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空表说明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年无一般公共预算“三公”经费支出，故该表为空表。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年无政府性基金预算支出，故该表为空表。</w:t>
      </w:r>
    </w:p>
    <w:p w:rsidR="00350BD6" w:rsidRDefault="007427C7">
      <w:pPr>
        <w:pStyle w:val="a6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其他情况说明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本单位专项支出。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年本单位专项支出为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，与上年相比无变化。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一般性转移支付支出。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年一般性转移支付支出为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，与上年相比无变化。</w:t>
      </w:r>
    </w:p>
    <w:p w:rsidR="00350BD6" w:rsidRDefault="007427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专项转移支付支出。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年专项转移支付支出为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，与上年相比无变化。</w:t>
      </w:r>
    </w:p>
    <w:p w:rsidR="00350BD6" w:rsidRDefault="007427C7">
      <w:pPr>
        <w:widowControl/>
        <w:spacing w:line="560" w:lineRule="exact"/>
        <w:ind w:firstLine="66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十</w:t>
      </w:r>
      <w:r>
        <w:rPr>
          <w:rFonts w:ascii="黑体" w:eastAsia="黑体" w:hAnsi="黑体" w:cs="Helvetica"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kern w:val="0"/>
          <w:sz w:val="32"/>
          <w:szCs w:val="32"/>
        </w:rPr>
        <w:t>专业名词解释</w:t>
      </w:r>
    </w:p>
    <w:p w:rsidR="00350BD6" w:rsidRDefault="007427C7">
      <w:pPr>
        <w:widowControl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350BD6" w:rsidRDefault="007427C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350BD6" w:rsidRDefault="007427C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lastRenderedPageBreak/>
        <w:t>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350BD6" w:rsidRDefault="007427C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350BD6" w:rsidRDefault="007427C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350BD6" w:rsidRDefault="007427C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350BD6" w:rsidRDefault="007427C7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350BD6" w:rsidRDefault="00350BD6">
      <w:pPr>
        <w:widowControl/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35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C7" w:rsidRDefault="007427C7" w:rsidP="00491CF2">
      <w:r>
        <w:separator/>
      </w:r>
    </w:p>
  </w:endnote>
  <w:endnote w:type="continuationSeparator" w:id="0">
    <w:p w:rsidR="007427C7" w:rsidRDefault="007427C7" w:rsidP="004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-SC-Light">
    <w:altName w:val="国标宋体-超大字符集"/>
    <w:charset w:val="0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C7" w:rsidRDefault="007427C7" w:rsidP="00491CF2">
      <w:r>
        <w:separator/>
      </w:r>
    </w:p>
  </w:footnote>
  <w:footnote w:type="continuationSeparator" w:id="0">
    <w:p w:rsidR="007427C7" w:rsidRDefault="007427C7" w:rsidP="0049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MTM2NDViMGNhOTRjM2M1MDQwODJlZGQ4YTMwMTQifQ=="/>
    <w:docVar w:name="KSO_WPS_MARK_KEY" w:val="0591c647-4362-4359-8d4d-3c489b5eb876"/>
  </w:docVars>
  <w:rsids>
    <w:rsidRoot w:val="0010135B"/>
    <w:rsid w:val="9EFF3D6E"/>
    <w:rsid w:val="B9BA7A9B"/>
    <w:rsid w:val="0007474A"/>
    <w:rsid w:val="000F1F99"/>
    <w:rsid w:val="0010135B"/>
    <w:rsid w:val="00104384"/>
    <w:rsid w:val="001212FB"/>
    <w:rsid w:val="00163599"/>
    <w:rsid w:val="001F06A4"/>
    <w:rsid w:val="002144B6"/>
    <w:rsid w:val="00267312"/>
    <w:rsid w:val="00295E97"/>
    <w:rsid w:val="002D3ABD"/>
    <w:rsid w:val="002F12C2"/>
    <w:rsid w:val="0030520C"/>
    <w:rsid w:val="00322A49"/>
    <w:rsid w:val="00333E57"/>
    <w:rsid w:val="00350BD6"/>
    <w:rsid w:val="003B7F92"/>
    <w:rsid w:val="003E7A9D"/>
    <w:rsid w:val="004041DC"/>
    <w:rsid w:val="004203F4"/>
    <w:rsid w:val="00446C71"/>
    <w:rsid w:val="004503F7"/>
    <w:rsid w:val="00491CF2"/>
    <w:rsid w:val="004B05A9"/>
    <w:rsid w:val="004D0181"/>
    <w:rsid w:val="004F0C1C"/>
    <w:rsid w:val="0051352A"/>
    <w:rsid w:val="00534973"/>
    <w:rsid w:val="00561456"/>
    <w:rsid w:val="0057763A"/>
    <w:rsid w:val="005A201B"/>
    <w:rsid w:val="006368CD"/>
    <w:rsid w:val="006417E6"/>
    <w:rsid w:val="00655A33"/>
    <w:rsid w:val="00663897"/>
    <w:rsid w:val="006750AC"/>
    <w:rsid w:val="00683170"/>
    <w:rsid w:val="006A58C5"/>
    <w:rsid w:val="006A75D1"/>
    <w:rsid w:val="006F32D4"/>
    <w:rsid w:val="00711536"/>
    <w:rsid w:val="007250D9"/>
    <w:rsid w:val="0074268D"/>
    <w:rsid w:val="007427C7"/>
    <w:rsid w:val="00767043"/>
    <w:rsid w:val="007827A9"/>
    <w:rsid w:val="007A559B"/>
    <w:rsid w:val="007C4C2E"/>
    <w:rsid w:val="007E1C31"/>
    <w:rsid w:val="00803BBA"/>
    <w:rsid w:val="008226AF"/>
    <w:rsid w:val="00825892"/>
    <w:rsid w:val="00842BDD"/>
    <w:rsid w:val="008434A3"/>
    <w:rsid w:val="0089100F"/>
    <w:rsid w:val="008D461A"/>
    <w:rsid w:val="00911D1D"/>
    <w:rsid w:val="00936938"/>
    <w:rsid w:val="0096313A"/>
    <w:rsid w:val="009951FA"/>
    <w:rsid w:val="00AC2B06"/>
    <w:rsid w:val="00AC4FAF"/>
    <w:rsid w:val="00AE30B8"/>
    <w:rsid w:val="00AE7AD7"/>
    <w:rsid w:val="00B1576F"/>
    <w:rsid w:val="00B40BD2"/>
    <w:rsid w:val="00B9662E"/>
    <w:rsid w:val="00B9763B"/>
    <w:rsid w:val="00BC0C0C"/>
    <w:rsid w:val="00BD7A04"/>
    <w:rsid w:val="00C24A40"/>
    <w:rsid w:val="00C61789"/>
    <w:rsid w:val="00C7550C"/>
    <w:rsid w:val="00C906D2"/>
    <w:rsid w:val="00CB4CBA"/>
    <w:rsid w:val="00CC0D29"/>
    <w:rsid w:val="00CE3E4B"/>
    <w:rsid w:val="00CE63F1"/>
    <w:rsid w:val="00CE7F9A"/>
    <w:rsid w:val="00D1622F"/>
    <w:rsid w:val="00D87A1D"/>
    <w:rsid w:val="00DF71BD"/>
    <w:rsid w:val="00E25628"/>
    <w:rsid w:val="00E7467E"/>
    <w:rsid w:val="00E83A19"/>
    <w:rsid w:val="00EB36A7"/>
    <w:rsid w:val="00EB3CB1"/>
    <w:rsid w:val="00EB62F2"/>
    <w:rsid w:val="00EF1D11"/>
    <w:rsid w:val="00EF7695"/>
    <w:rsid w:val="00F014E5"/>
    <w:rsid w:val="00F3000C"/>
    <w:rsid w:val="00F3645E"/>
    <w:rsid w:val="00F36EFA"/>
    <w:rsid w:val="00FE60EE"/>
    <w:rsid w:val="029E579C"/>
    <w:rsid w:val="0517606D"/>
    <w:rsid w:val="090B4305"/>
    <w:rsid w:val="0BB00305"/>
    <w:rsid w:val="0C343CDA"/>
    <w:rsid w:val="0E0B7D94"/>
    <w:rsid w:val="0E345176"/>
    <w:rsid w:val="1202325C"/>
    <w:rsid w:val="14495172"/>
    <w:rsid w:val="157D652D"/>
    <w:rsid w:val="19DE119F"/>
    <w:rsid w:val="1DF96365"/>
    <w:rsid w:val="1F5C21FD"/>
    <w:rsid w:val="1FAD0CAB"/>
    <w:rsid w:val="20C45BD1"/>
    <w:rsid w:val="227E194A"/>
    <w:rsid w:val="233907E4"/>
    <w:rsid w:val="25C1100C"/>
    <w:rsid w:val="260C158F"/>
    <w:rsid w:val="293C127A"/>
    <w:rsid w:val="2CB21B2D"/>
    <w:rsid w:val="2EAA23DE"/>
    <w:rsid w:val="2F1A58BC"/>
    <w:rsid w:val="2F4849FF"/>
    <w:rsid w:val="2FD8447E"/>
    <w:rsid w:val="30B87B90"/>
    <w:rsid w:val="31C559BB"/>
    <w:rsid w:val="34AC13A7"/>
    <w:rsid w:val="35594A7F"/>
    <w:rsid w:val="373D0286"/>
    <w:rsid w:val="3FC167AB"/>
    <w:rsid w:val="3FE1FF1D"/>
    <w:rsid w:val="406C5E63"/>
    <w:rsid w:val="41862B1B"/>
    <w:rsid w:val="42046DF4"/>
    <w:rsid w:val="42921A4B"/>
    <w:rsid w:val="46625A9C"/>
    <w:rsid w:val="47727954"/>
    <w:rsid w:val="4F7210AD"/>
    <w:rsid w:val="52FA4242"/>
    <w:rsid w:val="53312A80"/>
    <w:rsid w:val="53715570"/>
    <w:rsid w:val="54271208"/>
    <w:rsid w:val="55DC3360"/>
    <w:rsid w:val="57D91936"/>
    <w:rsid w:val="588306D8"/>
    <w:rsid w:val="59771406"/>
    <w:rsid w:val="5D94492C"/>
    <w:rsid w:val="60E56B9C"/>
    <w:rsid w:val="68D85793"/>
    <w:rsid w:val="68DC6BD8"/>
    <w:rsid w:val="69B105F7"/>
    <w:rsid w:val="6A3B7FC8"/>
    <w:rsid w:val="6A533917"/>
    <w:rsid w:val="6AC70801"/>
    <w:rsid w:val="6C204787"/>
    <w:rsid w:val="6E0D54AC"/>
    <w:rsid w:val="6E9502FB"/>
    <w:rsid w:val="70EF2DC9"/>
    <w:rsid w:val="733A4360"/>
    <w:rsid w:val="76577EF1"/>
    <w:rsid w:val="7B320096"/>
    <w:rsid w:val="7CF7708E"/>
    <w:rsid w:val="7F2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E5595C3-6B41-4A97-AD02-878AB6C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uiPriority w:val="99"/>
    <w:qFormat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449</Words>
  <Characters>2562</Characters>
  <Application>Microsoft Office Word</Application>
  <DocSecurity>0</DocSecurity>
  <Lines>21</Lines>
  <Paragraphs>6</Paragraphs>
  <ScaleCrop>false</ScaleCrop>
  <Company>P R C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曹群豪(拟稿)</dc:creator>
  <cp:lastModifiedBy>Windows User</cp:lastModifiedBy>
  <cp:revision>8</cp:revision>
  <cp:lastPrinted>2024-03-07T10:22:00Z</cp:lastPrinted>
  <dcterms:created xsi:type="dcterms:W3CDTF">2024-02-22T16:14:00Z</dcterms:created>
  <dcterms:modified xsi:type="dcterms:W3CDTF">2024-03-12T09:10:00Z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1808A51FFA214AE1BFC8B96CFB8380A1</vt:lpwstr>
  </property>
</Properties>
</file>