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72" w:rsidRDefault="00D41D72">
      <w:pPr>
        <w:widowControl/>
        <w:jc w:val="center"/>
        <w:outlineLvl w:val="1"/>
        <w:rPr>
          <w:rFonts w:ascii="inherit" w:eastAsia="微软雅黑" w:hAnsi="inherit" w:cs="Helvetica" w:hint="eastAsia"/>
          <w:kern w:val="0"/>
          <w:sz w:val="45"/>
          <w:szCs w:val="45"/>
        </w:rPr>
      </w:pPr>
    </w:p>
    <w:p w:rsidR="00D41D72" w:rsidRDefault="00D41D72">
      <w:pPr>
        <w:widowControl/>
        <w:jc w:val="center"/>
        <w:outlineLvl w:val="1"/>
        <w:rPr>
          <w:rFonts w:ascii="inherit" w:eastAsia="微软雅黑" w:hAnsi="inherit" w:cs="Helvetica" w:hint="eastAsia"/>
          <w:kern w:val="0"/>
          <w:sz w:val="45"/>
          <w:szCs w:val="45"/>
        </w:rPr>
      </w:pPr>
    </w:p>
    <w:p w:rsidR="00D41D72" w:rsidRDefault="00DF1AEF">
      <w:pPr>
        <w:widowControl/>
        <w:jc w:val="center"/>
        <w:rPr>
          <w:rFonts w:asciiTheme="minorEastAsia" w:hAnsiTheme="minorEastAsia" w:cs="Helvetica"/>
          <w:kern w:val="0"/>
          <w:sz w:val="24"/>
          <w:szCs w:val="24"/>
        </w:rPr>
      </w:pPr>
      <w:r>
        <w:rPr>
          <w:rFonts w:ascii="黑体" w:eastAsia="黑体" w:hAnsi="黑体" w:cs="Helvetica" w:hint="eastAsia"/>
          <w:kern w:val="0"/>
          <w:sz w:val="44"/>
          <w:szCs w:val="44"/>
        </w:rPr>
        <w:t>2024年湖北省统计局五峰经济社会调查队预算公开情况说明</w:t>
      </w:r>
    </w:p>
    <w:p w:rsidR="00D41D72" w:rsidRDefault="00D41D72">
      <w:pPr>
        <w:widowControl/>
        <w:rPr>
          <w:rFonts w:asciiTheme="minorEastAsia" w:hAnsiTheme="minorEastAsia" w:cs="Helvetica"/>
          <w:kern w:val="0"/>
          <w:sz w:val="24"/>
          <w:szCs w:val="24"/>
        </w:rPr>
      </w:pPr>
    </w:p>
    <w:p w:rsidR="00D41D72" w:rsidRDefault="00D41D72">
      <w:pPr>
        <w:widowControl/>
        <w:rPr>
          <w:rFonts w:asciiTheme="minorEastAsia" w:hAnsiTheme="minorEastAsia" w:cs="Helvetica"/>
          <w:kern w:val="0"/>
          <w:sz w:val="24"/>
          <w:szCs w:val="24"/>
        </w:rPr>
      </w:pPr>
    </w:p>
    <w:p w:rsidR="00D41D72" w:rsidRDefault="00DF1AEF">
      <w:pPr>
        <w:widowControl/>
        <w:jc w:val="center"/>
        <w:rPr>
          <w:rFonts w:ascii="黑体" w:eastAsia="黑体" w:hAnsi="黑体" w:cs="Helvetica"/>
          <w:kern w:val="0"/>
          <w:sz w:val="44"/>
          <w:szCs w:val="44"/>
        </w:rPr>
      </w:pPr>
      <w:r>
        <w:rPr>
          <w:rFonts w:ascii="黑体" w:eastAsia="黑体" w:hAnsi="黑体" w:cs="Helvetica" w:hint="eastAsia"/>
          <w:kern w:val="0"/>
          <w:sz w:val="44"/>
          <w:szCs w:val="44"/>
        </w:rPr>
        <w:t>目   录</w:t>
      </w:r>
    </w:p>
    <w:p w:rsidR="00D41D72" w:rsidRDefault="00D41D72">
      <w:pPr>
        <w:widowControl/>
        <w:spacing w:line="480" w:lineRule="exact"/>
        <w:jc w:val="left"/>
        <w:rPr>
          <w:rFonts w:asciiTheme="minorEastAsia" w:hAnsiTheme="minorEastAsia" w:cs="Helvetica"/>
          <w:kern w:val="0"/>
          <w:sz w:val="24"/>
          <w:szCs w:val="24"/>
        </w:rPr>
      </w:pP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一、单位主要职责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四、机关运行经费情况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:rsidR="00D41D72" w:rsidRDefault="00DF1AE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 w:rsidR="00D41D72" w:rsidRDefault="00DF1AEF">
      <w:pPr>
        <w:widowControl/>
        <w:spacing w:line="500" w:lineRule="exact"/>
        <w:rPr>
          <w:rFonts w:asciiTheme="majorEastAsia" w:eastAsiaTheme="majorEastAsia" w:hAnsiTheme="majorEastAsia" w:cs="Helvetica"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 w:cs="Helvetica" w:hint="eastAsia"/>
          <w:bCs/>
          <w:kern w:val="0"/>
          <w:sz w:val="24"/>
          <w:szCs w:val="24"/>
        </w:rPr>
        <w:t xml:space="preserve">　　</w:t>
      </w:r>
    </w:p>
    <w:p w:rsidR="00D41D72" w:rsidRDefault="00DF1AEF">
      <w:pPr>
        <w:widowControl/>
        <w:spacing w:line="520" w:lineRule="exact"/>
        <w:ind w:firstLineChars="150" w:firstLine="361"/>
        <w:rPr>
          <w:rFonts w:asciiTheme="minorEastAsia" w:hAnsiTheme="minorEastAsia" w:cs="Helvetica"/>
          <w:b/>
          <w:kern w:val="0"/>
          <w:sz w:val="24"/>
          <w:szCs w:val="24"/>
        </w:rPr>
      </w:pPr>
      <w:r>
        <w:rPr>
          <w:rFonts w:asciiTheme="minorEastAsia" w:hAnsiTheme="minorEastAsia" w:cs="Helvetica" w:hint="eastAsia"/>
          <w:b/>
          <w:kern w:val="0"/>
          <w:sz w:val="24"/>
          <w:szCs w:val="24"/>
        </w:rPr>
        <w:t xml:space="preserve"> </w:t>
      </w:r>
    </w:p>
    <w:p w:rsidR="00D41D72" w:rsidRDefault="00D41D72">
      <w:pPr>
        <w:widowControl/>
        <w:spacing w:line="520" w:lineRule="exact"/>
        <w:ind w:firstLineChars="150" w:firstLine="361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D41D72" w:rsidRDefault="00D41D72">
      <w:pPr>
        <w:widowControl/>
        <w:spacing w:line="520" w:lineRule="exact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D41D72" w:rsidRDefault="00D41D72">
      <w:pPr>
        <w:widowControl/>
        <w:spacing w:line="520" w:lineRule="exact"/>
        <w:ind w:firstLineChars="150" w:firstLine="361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D41D72" w:rsidRDefault="00D41D72">
      <w:pPr>
        <w:pStyle w:val="1"/>
      </w:pPr>
    </w:p>
    <w:p w:rsidR="00D41D72" w:rsidRDefault="00D41D72">
      <w:pPr>
        <w:widowControl/>
        <w:spacing w:line="520" w:lineRule="exact"/>
        <w:rPr>
          <w:rFonts w:asciiTheme="minorEastAsia" w:hAnsiTheme="minorEastAsia" w:cs="Helvetica"/>
          <w:b/>
          <w:kern w:val="0"/>
          <w:sz w:val="24"/>
          <w:szCs w:val="24"/>
        </w:rPr>
      </w:pPr>
    </w:p>
    <w:p w:rsidR="00D41D72" w:rsidRDefault="00DF1AEF">
      <w:pPr>
        <w:widowControl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一、单位主要职责</w:t>
      </w:r>
    </w:p>
    <w:p w:rsidR="00D41D72" w:rsidRDefault="00DF1AEF">
      <w:pPr>
        <w:widowControl/>
        <w:shd w:val="clear" w:color="auto" w:fill="FFFFFF"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(一)组织实施所辖区域统计数据质量核查工作。</w:t>
      </w:r>
    </w:p>
    <w:p w:rsidR="00D41D72" w:rsidRDefault="00DF1AEF">
      <w:pPr>
        <w:widowControl/>
        <w:shd w:val="clear" w:color="auto" w:fill="FFFFFF"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(二)配合省局开展统计执法检查工作。</w:t>
      </w:r>
    </w:p>
    <w:p w:rsidR="00D41D72" w:rsidRDefault="00DF1AEF">
      <w:pPr>
        <w:widowControl/>
        <w:shd w:val="clear" w:color="auto" w:fill="FFFFFF"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(三)承担上级调查机构布置的所辖区域内“四下”单位抽样调查工作。</w:t>
      </w:r>
    </w:p>
    <w:p w:rsidR="00D41D72" w:rsidRDefault="00DF1AEF">
      <w:pPr>
        <w:widowControl/>
        <w:shd w:val="clear" w:color="auto" w:fill="FFFFFF"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(四)承担省局和省调查监测中心安排的重大战略监测、各项专项调查及其他工作。</w:t>
      </w:r>
    </w:p>
    <w:p w:rsidR="00D41D72" w:rsidRDefault="00DF1AEF">
      <w:pPr>
        <w:widowControl/>
        <w:shd w:val="clear" w:color="auto" w:fill="FFFFFF"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(五)协助地方统计局完成大型国情国力调查。</w:t>
      </w:r>
    </w:p>
    <w:p w:rsidR="00D41D72" w:rsidRDefault="00DF1AEF">
      <w:pPr>
        <w:widowControl/>
        <w:shd w:val="clear" w:color="auto" w:fill="FFFFFF"/>
        <w:spacing w:line="4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二、机构设置情况</w:t>
      </w:r>
    </w:p>
    <w:p w:rsidR="00D41D72" w:rsidRDefault="00DF1AEF">
      <w:pPr>
        <w:widowControl/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我单位设2个内设机构：调查监测一科、调查监测二科。</w:t>
      </w:r>
    </w:p>
    <w:p w:rsidR="00D41D72" w:rsidRDefault="00DF1AEF">
      <w:pPr>
        <w:widowControl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（一）调查监测一科的主要职责是: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负责统计数据质量监测和核查；负责调查队的日常管理和综合协调；开展相关统计调查和监测工作；参与统计执法相关工作；参与大型国情国力调查等重大统计工作；协助地方统计局开展相关工作；完成省统计局、</w:t>
      </w:r>
      <w:r>
        <w:rPr>
          <w:rFonts w:ascii="仿宋_GB2312" w:eastAsia="仿宋_GB2312" w:hAnsi="仿宋_GB2312" w:cs="仿宋_GB2312" w:hint="eastAsia"/>
          <w:sz w:val="32"/>
          <w:szCs w:val="32"/>
        </w:rPr>
        <w:t>省统计局调查监测中心和宜昌调查监测分局交办的其他工作。</w:t>
      </w:r>
    </w:p>
    <w:p w:rsidR="00D41D72" w:rsidRDefault="00DF1AEF">
      <w:pPr>
        <w:widowControl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（二）调查监测二科的主要职责是: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负责统计数据质量监测和核查；开展相关统计调查和监测工作；开展统计执法相关工作；参与大型国情国力调查等重大统计工作；协助地方统计局开展相关工作；完成省统计局、</w:t>
      </w:r>
      <w:r>
        <w:rPr>
          <w:rFonts w:ascii="仿宋_GB2312" w:eastAsia="仿宋_GB2312" w:hAnsi="仿宋_GB2312" w:cs="仿宋_GB2312" w:hint="eastAsia"/>
          <w:sz w:val="32"/>
          <w:szCs w:val="32"/>
        </w:rPr>
        <w:t>省统计局调查监测中心和宜昌调查监测分局交办的其他工作。</w:t>
      </w:r>
    </w:p>
    <w:p w:rsidR="00D41D72" w:rsidRDefault="00DF1AEF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三、预算收支及增减变化情况</w:t>
      </w:r>
    </w:p>
    <w:p w:rsidR="00D41D72" w:rsidRDefault="00DF1AEF">
      <w:pPr>
        <w:widowControl/>
        <w:spacing w:line="52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1.预算收入情况: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2024年预算收入为127.18万元，比上年增加16.18万元，增加14.6%，主要原因是：经费拨款增加16.18万元。其中：一般公共预算拨款收入127.18万元，比上年增加16.18万元，增加14.6%。</w:t>
      </w:r>
    </w:p>
    <w:p w:rsidR="00D41D72" w:rsidRDefault="00DF1AEF">
      <w:pPr>
        <w:widowControl/>
        <w:spacing w:line="52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lastRenderedPageBreak/>
        <w:t>2.预算支出情况：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2024年预算支出127.18万元, 比上年增加16.18万元，增加14.6%。主要原因是：社保基数增加，基本养老保险预算有增长。其中：一般公共服务支出97.12万元，比上年增加2.02万元，增加2.1%；社会保障和就业支出21.21万元，比上年增加13.71万元，增加182.8%；住房保障支出8.85万元，比上年增加0.45万元，增加5.4%。</w:t>
      </w:r>
    </w:p>
    <w:p w:rsidR="00D41D72" w:rsidRDefault="00DF1AEF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支出增加</w:t>
      </w:r>
      <w:r w:rsidR="008B042D">
        <w:rPr>
          <w:rFonts w:ascii="仿宋_GB2312" w:eastAsia="仿宋_GB2312" w:hAnsi="仿宋_GB2312" w:cs="仿宋_GB2312" w:hint="eastAsia"/>
          <w:kern w:val="0"/>
          <w:sz w:val="32"/>
          <w:szCs w:val="32"/>
        </w:rPr>
        <w:t>和减少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原因：</w:t>
      </w:r>
    </w:p>
    <w:p w:rsidR="00D41D72" w:rsidRDefault="00DF1AEF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（1）2024年基本支出123.18万元，比上年增加24.18万元，增加24.4%,主要原因：社保基数增加，基本养老保险预算有增长。</w:t>
      </w:r>
    </w:p>
    <w:p w:rsidR="00D41D72" w:rsidRDefault="00DF1AEF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（2）2024年项目支出4万元，比上年减少8万元，减少66.7%,主要原因：减少非必要支出，提高资金使用效率，项目经费有所减少。</w:t>
      </w:r>
    </w:p>
    <w:p w:rsidR="00D41D72" w:rsidRDefault="00DF1AEF">
      <w:pPr>
        <w:widowControl/>
        <w:numPr>
          <w:ilvl w:val="0"/>
          <w:numId w:val="1"/>
        </w:numPr>
        <w:spacing w:line="520" w:lineRule="exact"/>
        <w:ind w:firstLine="480"/>
        <w:rPr>
          <w:rFonts w:ascii="黑体" w:eastAsia="黑体" w:hAnsi="黑体" w:cs="Helvetica"/>
          <w:b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机关运行经费安排情况</w:t>
      </w:r>
    </w:p>
    <w:p w:rsidR="00D41D72" w:rsidRDefault="00DF1AEF">
      <w:pPr>
        <w:widowControl/>
        <w:spacing w:line="52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机关运行经费13万元，与上年持平。其中：办公费0.46万元，电费0.3万元，邮电费0.06万元，差旅费0.23万元，劳务费2.5万元，工会经费1.5万元，福利费0.81万元，其他交通费用4.14万元，其他商品和服务支出3万元。</w:t>
      </w:r>
    </w:p>
    <w:p w:rsidR="00D41D72" w:rsidRDefault="00DF1AEF">
      <w:pPr>
        <w:widowControl/>
        <w:numPr>
          <w:ilvl w:val="0"/>
          <w:numId w:val="1"/>
        </w:numPr>
        <w:spacing w:line="520" w:lineRule="exact"/>
        <w:ind w:firstLine="480"/>
        <w:rPr>
          <w:rFonts w:ascii="黑体" w:eastAsia="黑体" w:hAnsi="黑体" w:cs="Helvetica"/>
          <w:b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一般公共预算“三公”经费及增减变化情况</w:t>
      </w:r>
    </w:p>
    <w:p w:rsidR="00D41D72" w:rsidRDefault="00DF1AEF">
      <w:pPr>
        <w:widowControl/>
        <w:spacing w:line="52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2024年“三公”经费财政拨款预算0万元，比上年预算减少0万元，减少0%。其中：</w:t>
      </w:r>
    </w:p>
    <w:p w:rsidR="00D41D72" w:rsidRDefault="00DF1AEF">
      <w:pPr>
        <w:widowControl/>
        <w:spacing w:line="52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1.因公出国（境）费0万元，比上年减少0万元，主要原因是：因公出国由部门统一安排，我单位无此项经费预算。</w:t>
      </w:r>
    </w:p>
    <w:p w:rsidR="00D41D72" w:rsidRDefault="00DF1AEF">
      <w:pPr>
        <w:widowControl/>
        <w:spacing w:line="52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2.公务接待费0万元，比上年减少0万元，主要原因是：公务接待由部门统一安排，我单位无此项经费预算。</w:t>
      </w:r>
    </w:p>
    <w:p w:rsidR="00D41D72" w:rsidRDefault="00DF1AEF">
      <w:pPr>
        <w:widowControl/>
        <w:spacing w:line="52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3.公务用车购置及运行维护费0万元，比上年减少0万元，其中：公务用车购置0万元，比上年减少0万元，主要原因是：公务用车购置由部门统一安排，我单位无此项经费预算。公务用车运行维护费0万元, 比上年减少0万元，主要原因是：公务用车运行由部门统一安排，我单位无此项经费预算。</w:t>
      </w:r>
    </w:p>
    <w:p w:rsidR="00D41D72" w:rsidRDefault="00DF1AEF">
      <w:pPr>
        <w:widowControl/>
        <w:spacing w:line="520" w:lineRule="exact"/>
        <w:ind w:firstLineChars="200" w:firstLine="643"/>
        <w:rPr>
          <w:rFonts w:ascii="黑体" w:eastAsia="黑体" w:hAnsi="黑体" w:cs="Helvetica"/>
          <w:b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六、政府采购预算情况</w:t>
      </w:r>
    </w:p>
    <w:p w:rsidR="00D41D72" w:rsidRDefault="00DF1AEF">
      <w:pPr>
        <w:widowControl/>
        <w:spacing w:line="52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2024年我单位编制政府采购预算0万元，与上年持平。其中：货物类政府采购预算0万元，主要用于无;工程类政府采购预算0万元，主要用于无;服务类政府采购预算0万元，主要用于无。</w:t>
      </w:r>
    </w:p>
    <w:p w:rsidR="00D41D72" w:rsidRDefault="00DF1AEF">
      <w:pPr>
        <w:widowControl/>
        <w:spacing w:line="52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2024年，面向中小企业采购预算0万元，其中面向小微企业采购预算0万元。</w:t>
      </w:r>
    </w:p>
    <w:p w:rsidR="00D41D72" w:rsidRDefault="00DF1AEF">
      <w:pPr>
        <w:widowControl/>
        <w:spacing w:line="520" w:lineRule="exact"/>
        <w:rPr>
          <w:rFonts w:ascii="黑体" w:eastAsia="黑体" w:hAnsi="黑体" w:cs="Helvetica"/>
          <w:b/>
          <w:bCs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 xml:space="preserve">　</w:t>
      </w:r>
      <w:r>
        <w:rPr>
          <w:rFonts w:ascii="仿宋" w:eastAsia="仿宋" w:hAnsi="仿宋" w:cs="Helvetica" w:hint="eastAsia"/>
          <w:b/>
          <w:bCs/>
          <w:kern w:val="0"/>
          <w:sz w:val="32"/>
          <w:szCs w:val="32"/>
        </w:rPr>
        <w:t xml:space="preserve"> </w:t>
      </w:r>
      <w:r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七、国有资产占用情况</w:t>
      </w:r>
    </w:p>
    <w:p w:rsidR="00D41D72" w:rsidRDefault="00DF1AEF">
      <w:pPr>
        <w:widowControl/>
        <w:spacing w:line="52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截至2024年，我单位占有房屋面积0平方米，其中：办公用房建筑面积0平方米，其他0平方米。公务用车0辆，其中：副省级干部及上以领导干部用车0辆、机要通信用车0辆、应急保障用车0辆、执法勤用车0辆、特种专业技术用车0辆、其他用车0辆，其他用车主要是无。单价50万元以上的通用设备0台（套），单价100万元以上的专用设备数量为0台（套）。</w:t>
      </w:r>
    </w:p>
    <w:p w:rsidR="00D41D72" w:rsidRDefault="00DF1AEF">
      <w:pPr>
        <w:widowControl/>
        <w:spacing w:line="520" w:lineRule="exact"/>
        <w:ind w:firstLine="480"/>
        <w:rPr>
          <w:rFonts w:ascii="黑体" w:eastAsia="黑体" w:hAnsi="黑体" w:cs="Helvetica"/>
          <w:b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八、重点项目绩效情况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bCs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“全省统计执法专项经费”项目主要内容是：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开展执法检查、督办以及数据质量核查；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开展统计执法宣传；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其他应急执法检查和专项检查任务。2024年预算安排4万元，全部为当年一般公共预算财政拨款。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2024年度项目绩效总目标是：健全统计执法机制，强化统计基层基础工作建设；参与县级统计执法业务宣传与培训，提升业务水平；完成五峰土家族自治县统计调查数据的质量监测和核查工作，及时将结果上报给省统计局、宜昌调查监测分局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成本指标：预算执行率≥98%。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产出指标：统计宣传活动组织到位率=95%；统计普查宣传工作落实率≥90%；数据上报及时。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社会效益指标：检查方式多样性≥2种。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质量指标：统计执法考试通过率100%。 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满意度指标：政府部门及社会公众满意度≥85%。</w:t>
      </w:r>
    </w:p>
    <w:p w:rsidR="00D41D72" w:rsidRDefault="00DF1AEF">
      <w:pPr>
        <w:widowControl/>
        <w:spacing w:line="560" w:lineRule="exact"/>
        <w:ind w:firstLineChars="200" w:firstLine="643"/>
        <w:rPr>
          <w:rFonts w:ascii="黑体" w:eastAsia="黑体" w:hAnsi="黑体" w:cs="Helvetica"/>
          <w:b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九、其他需要说明的情况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1.对空表的说明：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我单位2024年无一般公共预算“三公”经费支出，故该表为空表。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我单位2024年无府性基金预算支出，故该表为空表。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2.其他情况的说明：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本单位专项支出。2024年本单位专项支出为0，与上年相比无变化。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一般性转移支付支出。2024年一般性转移支付支出为0，与上年相比无变化。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专项转移支付支出。2024年专项转移支付支出为0，与上年相比无变化。</w:t>
      </w:r>
    </w:p>
    <w:bookmarkEnd w:id="0"/>
    <w:p w:rsidR="00D41D72" w:rsidRDefault="00DF1AEF">
      <w:pPr>
        <w:widowControl/>
        <w:spacing w:line="520" w:lineRule="exact"/>
        <w:ind w:firstLine="660"/>
        <w:rPr>
          <w:rFonts w:ascii="黑体" w:eastAsia="黑体" w:hAnsi="黑体" w:cs="Helvetica"/>
          <w:b/>
          <w:bCs/>
          <w:kern w:val="0"/>
          <w:sz w:val="32"/>
          <w:szCs w:val="32"/>
        </w:rPr>
      </w:pPr>
      <w:r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十</w:t>
      </w:r>
      <w:r>
        <w:rPr>
          <w:rFonts w:ascii="黑体" w:eastAsia="黑体" w:hAnsi="黑体" w:cs="Helvetica"/>
          <w:b/>
          <w:bCs/>
          <w:kern w:val="0"/>
          <w:sz w:val="32"/>
          <w:szCs w:val="32"/>
        </w:rPr>
        <w:t>、</w:t>
      </w:r>
      <w:r>
        <w:rPr>
          <w:rFonts w:ascii="黑体" w:eastAsia="黑体" w:hAnsi="黑体" w:cs="Helvetica" w:hint="eastAsia"/>
          <w:b/>
          <w:bCs/>
          <w:kern w:val="0"/>
          <w:sz w:val="32"/>
          <w:szCs w:val="32"/>
        </w:rPr>
        <w:t>专业名词解释</w:t>
      </w:r>
    </w:p>
    <w:p w:rsidR="00D41D72" w:rsidRDefault="00DF1AEF">
      <w:pPr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位运行使用一般公共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、福利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D41D72" w:rsidRDefault="00DF1AE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。其中，因公出国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 xml:space="preserve">)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D41D72" w:rsidRDefault="00DF1AE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D41D72" w:rsidRDefault="00DF1AE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D41D72" w:rsidRDefault="00DF1AE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D41D72" w:rsidRDefault="00DF1AEF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lastRenderedPageBreak/>
        <w:t>6.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 w:rsidR="00D41D72" w:rsidRDefault="00DF1AEF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bCs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sectPr w:rsidR="00D41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75" w:rsidRDefault="005F4E75" w:rsidP="00F351B5">
      <w:r>
        <w:separator/>
      </w:r>
    </w:p>
  </w:endnote>
  <w:endnote w:type="continuationSeparator" w:id="0">
    <w:p w:rsidR="005F4E75" w:rsidRDefault="005F4E75" w:rsidP="00F3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PingFang-SC-Light">
    <w:altName w:val="国标宋体-超大字符集"/>
    <w:charset w:val="0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75" w:rsidRDefault="005F4E75" w:rsidP="00F351B5">
      <w:r>
        <w:separator/>
      </w:r>
    </w:p>
  </w:footnote>
  <w:footnote w:type="continuationSeparator" w:id="0">
    <w:p w:rsidR="005F4E75" w:rsidRDefault="005F4E75" w:rsidP="00F3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4FE415"/>
    <w:multiLevelType w:val="singleLevel"/>
    <w:tmpl w:val="B74FE41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Mzg1NjBkMDViYTgxNjY4MjE1NmFiZDAyYjhmYzUifQ=="/>
    <w:docVar w:name="KSO_WPS_MARK_KEY" w:val="e46a83ba-6181-4dcd-af57-92fd26751bb7"/>
  </w:docVars>
  <w:rsids>
    <w:rsidRoot w:val="0010135B"/>
    <w:rsid w:val="0007474A"/>
    <w:rsid w:val="000F1F99"/>
    <w:rsid w:val="0010135B"/>
    <w:rsid w:val="00104384"/>
    <w:rsid w:val="001212FB"/>
    <w:rsid w:val="00163599"/>
    <w:rsid w:val="001F06A4"/>
    <w:rsid w:val="002144B6"/>
    <w:rsid w:val="00267312"/>
    <w:rsid w:val="00295E97"/>
    <w:rsid w:val="002D3ABD"/>
    <w:rsid w:val="002F12C2"/>
    <w:rsid w:val="0030520C"/>
    <w:rsid w:val="00322A49"/>
    <w:rsid w:val="00333E57"/>
    <w:rsid w:val="003B7F92"/>
    <w:rsid w:val="003E7A9D"/>
    <w:rsid w:val="004041DC"/>
    <w:rsid w:val="004203F4"/>
    <w:rsid w:val="00446C71"/>
    <w:rsid w:val="004503F7"/>
    <w:rsid w:val="004B05A9"/>
    <w:rsid w:val="004D0181"/>
    <w:rsid w:val="004F0C1C"/>
    <w:rsid w:val="0051352A"/>
    <w:rsid w:val="00534973"/>
    <w:rsid w:val="00561456"/>
    <w:rsid w:val="0057763A"/>
    <w:rsid w:val="005A201B"/>
    <w:rsid w:val="005F4E75"/>
    <w:rsid w:val="006368CD"/>
    <w:rsid w:val="006417E6"/>
    <w:rsid w:val="00655A33"/>
    <w:rsid w:val="00663897"/>
    <w:rsid w:val="006750AC"/>
    <w:rsid w:val="00683170"/>
    <w:rsid w:val="006A58C5"/>
    <w:rsid w:val="006A75D1"/>
    <w:rsid w:val="006F32D4"/>
    <w:rsid w:val="00711536"/>
    <w:rsid w:val="007250D9"/>
    <w:rsid w:val="0074268D"/>
    <w:rsid w:val="00767043"/>
    <w:rsid w:val="007827A9"/>
    <w:rsid w:val="007A559B"/>
    <w:rsid w:val="007C4C2E"/>
    <w:rsid w:val="007E1C31"/>
    <w:rsid w:val="00803BBA"/>
    <w:rsid w:val="008226AF"/>
    <w:rsid w:val="00825892"/>
    <w:rsid w:val="00842BDD"/>
    <w:rsid w:val="0089100F"/>
    <w:rsid w:val="008B042D"/>
    <w:rsid w:val="008D461A"/>
    <w:rsid w:val="00911D1D"/>
    <w:rsid w:val="00936938"/>
    <w:rsid w:val="0096313A"/>
    <w:rsid w:val="009951FA"/>
    <w:rsid w:val="00AC2B06"/>
    <w:rsid w:val="00AC4FAF"/>
    <w:rsid w:val="00AE30B8"/>
    <w:rsid w:val="00AE7AD7"/>
    <w:rsid w:val="00B1576F"/>
    <w:rsid w:val="00B40BD2"/>
    <w:rsid w:val="00B9662E"/>
    <w:rsid w:val="00B9763B"/>
    <w:rsid w:val="00BC0C0C"/>
    <w:rsid w:val="00BD7A04"/>
    <w:rsid w:val="00C24A40"/>
    <w:rsid w:val="00C61789"/>
    <w:rsid w:val="00C7550C"/>
    <w:rsid w:val="00C906D2"/>
    <w:rsid w:val="00CB4CBA"/>
    <w:rsid w:val="00CC0D29"/>
    <w:rsid w:val="00CE3E4B"/>
    <w:rsid w:val="00CE63F1"/>
    <w:rsid w:val="00CE7F9A"/>
    <w:rsid w:val="00D1622F"/>
    <w:rsid w:val="00D41D72"/>
    <w:rsid w:val="00D87A1D"/>
    <w:rsid w:val="00DF1AEF"/>
    <w:rsid w:val="00DF71BD"/>
    <w:rsid w:val="00E25628"/>
    <w:rsid w:val="00E7467E"/>
    <w:rsid w:val="00E83A19"/>
    <w:rsid w:val="00EB36A7"/>
    <w:rsid w:val="00EB3CB1"/>
    <w:rsid w:val="00EB62F2"/>
    <w:rsid w:val="00EF1D11"/>
    <w:rsid w:val="00EF7695"/>
    <w:rsid w:val="00F014E5"/>
    <w:rsid w:val="00F3000C"/>
    <w:rsid w:val="00F351B5"/>
    <w:rsid w:val="00F3645E"/>
    <w:rsid w:val="00F36EFA"/>
    <w:rsid w:val="00FE60EE"/>
    <w:rsid w:val="01394C15"/>
    <w:rsid w:val="05E615FB"/>
    <w:rsid w:val="1D82616E"/>
    <w:rsid w:val="33285188"/>
    <w:rsid w:val="3B0317ED"/>
    <w:rsid w:val="3CA2049E"/>
    <w:rsid w:val="4C1D282E"/>
    <w:rsid w:val="5F431FB4"/>
    <w:rsid w:val="5FD03595"/>
    <w:rsid w:val="63C23F9D"/>
    <w:rsid w:val="689B74E4"/>
    <w:rsid w:val="6AC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0D8BFD3-4CCB-477A-88E4-903C3A2D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autoRedefine/>
    <w:uiPriority w:val="99"/>
    <w:qFormat/>
    <w:rPr>
      <w:rFonts w:ascii="宋体" w:hAnsi="Courier New" w:cs="Courier New"/>
    </w:rPr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2541</Characters>
  <Application>Microsoft Office Word</Application>
  <DocSecurity>0</DocSecurity>
  <Lines>21</Lines>
  <Paragraphs>5</Paragraphs>
  <ScaleCrop>false</ScaleCrop>
  <Company>P R C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曹群豪(拟稿)</dc:creator>
  <cp:lastModifiedBy>Hp</cp:lastModifiedBy>
  <cp:revision>10</cp:revision>
  <cp:lastPrinted>2022-02-22T02:20:00Z</cp:lastPrinted>
  <dcterms:created xsi:type="dcterms:W3CDTF">2024-02-22T08:14:00Z</dcterms:created>
  <dcterms:modified xsi:type="dcterms:W3CDTF">2024-03-18T04:14:00Z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F267F62136A742A59B3BB318479D625A</vt:lpwstr>
  </property>
</Properties>
</file>