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495" w:rsidRDefault="00557495">
      <w:pPr>
        <w:widowControl/>
        <w:jc w:val="center"/>
        <w:outlineLvl w:val="1"/>
        <w:rPr>
          <w:rFonts w:ascii="inherit" w:eastAsia="微软雅黑" w:hAnsi="inherit" w:cs="Helvetica" w:hint="eastAsia"/>
          <w:kern w:val="0"/>
          <w:sz w:val="45"/>
          <w:szCs w:val="45"/>
        </w:rPr>
      </w:pPr>
    </w:p>
    <w:p w:rsidR="00557495" w:rsidRDefault="00557495">
      <w:pPr>
        <w:widowControl/>
        <w:outlineLvl w:val="1"/>
        <w:rPr>
          <w:rFonts w:ascii="inherit" w:eastAsia="微软雅黑" w:hAnsi="inherit" w:cs="Helvetica" w:hint="eastAsia"/>
          <w:kern w:val="0"/>
          <w:sz w:val="45"/>
          <w:szCs w:val="45"/>
        </w:rPr>
      </w:pPr>
    </w:p>
    <w:p w:rsidR="00557495" w:rsidRDefault="003077E5">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红安经济社会调查队</w:t>
      </w:r>
    </w:p>
    <w:p w:rsidR="00557495" w:rsidRDefault="003077E5">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557495" w:rsidRDefault="003077E5">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57495" w:rsidRDefault="00557495">
      <w:pPr>
        <w:widowControl/>
        <w:rPr>
          <w:rFonts w:asciiTheme="minorEastAsia" w:hAnsiTheme="minorEastAsia" w:cs="Helvetica"/>
          <w:kern w:val="0"/>
          <w:sz w:val="24"/>
          <w:szCs w:val="24"/>
        </w:rPr>
      </w:pPr>
    </w:p>
    <w:p w:rsidR="00557495" w:rsidRDefault="00557495">
      <w:pPr>
        <w:widowControl/>
        <w:rPr>
          <w:rFonts w:asciiTheme="minorEastAsia" w:hAnsiTheme="minorEastAsia" w:cs="Helvetica"/>
          <w:kern w:val="0"/>
          <w:sz w:val="24"/>
          <w:szCs w:val="24"/>
        </w:rPr>
      </w:pPr>
    </w:p>
    <w:p w:rsidR="00557495" w:rsidRDefault="003077E5">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57495" w:rsidRDefault="00557495">
      <w:pPr>
        <w:widowControl/>
        <w:spacing w:line="480" w:lineRule="exact"/>
        <w:jc w:val="left"/>
        <w:rPr>
          <w:rFonts w:asciiTheme="minorEastAsia" w:hAnsiTheme="minorEastAsia" w:cs="Helvetica"/>
          <w:kern w:val="0"/>
          <w:sz w:val="24"/>
          <w:szCs w:val="24"/>
        </w:rPr>
      </w:pP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57495" w:rsidRDefault="003077E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57495" w:rsidRDefault="003077E5">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57495" w:rsidRDefault="003077E5">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557495" w:rsidRDefault="00557495">
      <w:pPr>
        <w:widowControl/>
        <w:spacing w:line="520" w:lineRule="exact"/>
        <w:ind w:firstLineChars="150" w:firstLine="361"/>
        <w:rPr>
          <w:rFonts w:asciiTheme="minorEastAsia" w:hAnsiTheme="minorEastAsia" w:cs="Helvetica"/>
          <w:b/>
          <w:kern w:val="0"/>
          <w:sz w:val="24"/>
          <w:szCs w:val="24"/>
        </w:rPr>
      </w:pPr>
    </w:p>
    <w:p w:rsidR="00557495" w:rsidRDefault="00557495">
      <w:pPr>
        <w:widowControl/>
        <w:spacing w:line="520" w:lineRule="exact"/>
        <w:rPr>
          <w:rFonts w:asciiTheme="minorEastAsia" w:hAnsiTheme="minorEastAsia" w:cs="Helvetica"/>
          <w:b/>
          <w:kern w:val="0"/>
          <w:sz w:val="24"/>
          <w:szCs w:val="24"/>
        </w:rPr>
      </w:pPr>
    </w:p>
    <w:p w:rsidR="00557495" w:rsidRDefault="00557495">
      <w:pPr>
        <w:widowControl/>
        <w:spacing w:line="520" w:lineRule="exact"/>
        <w:ind w:firstLineChars="150" w:firstLine="361"/>
        <w:rPr>
          <w:rFonts w:asciiTheme="minorEastAsia" w:hAnsiTheme="minorEastAsia" w:cs="Helvetica"/>
          <w:b/>
          <w:kern w:val="0"/>
          <w:sz w:val="24"/>
          <w:szCs w:val="24"/>
        </w:rPr>
      </w:pPr>
    </w:p>
    <w:p w:rsidR="00557495" w:rsidRDefault="00557495">
      <w:pPr>
        <w:widowControl/>
        <w:spacing w:line="520" w:lineRule="exact"/>
        <w:rPr>
          <w:rFonts w:asciiTheme="minorEastAsia" w:hAnsiTheme="minorEastAsia" w:cs="Helvetica"/>
          <w:b/>
          <w:kern w:val="0"/>
          <w:sz w:val="24"/>
          <w:szCs w:val="24"/>
        </w:rPr>
      </w:pPr>
    </w:p>
    <w:p w:rsidR="00557495" w:rsidRDefault="003077E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(一)组织实施所辖区域统计数据质量核查工作。</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(二)配合省局开展统计执法检查工作。</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(三)承担.上级调查机构布置的所辖区域内“四下”单位抽样调查工作。</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(四)承担省局和省调查监测中心安排的重大战略监测、各项专项调查及其他工作。</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(五)协助地方统计局完成大型国情国力调查。</w:t>
      </w:r>
    </w:p>
    <w:p w:rsidR="00557495" w:rsidRDefault="003077E5">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557495" w:rsidRDefault="003077E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湖北省统计局红安经济社会调查队内设2个科室：调查监测一科、调查监测二科。</w:t>
      </w:r>
    </w:p>
    <w:p w:rsidR="00557495" w:rsidRDefault="003077E5">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b/>
          <w:bCs/>
          <w:color w:val="000000" w:themeColor="text1"/>
          <w:kern w:val="0"/>
          <w:sz w:val="32"/>
          <w:szCs w:val="32"/>
        </w:rPr>
        <w:t>1.调查监测一科的主要职责是:</w:t>
      </w:r>
      <w:r>
        <w:rPr>
          <w:rFonts w:ascii="仿宋_GB2312" w:eastAsia="仿宋_GB2312" w:hAnsi="仿宋_GB2312" w:cs="仿宋_GB2312" w:hint="eastAsia"/>
          <w:color w:val="000000" w:themeColor="text1"/>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rsidR="00557495" w:rsidRDefault="003077E5">
      <w:pPr>
        <w:adjustRightInd w:val="0"/>
        <w:spacing w:line="560" w:lineRule="exact"/>
        <w:ind w:firstLineChars="200" w:firstLine="643"/>
        <w:rPr>
          <w:rFonts w:ascii="仿宋" w:eastAsia="仿宋" w:hAnsi="仿宋" w:cs="Helvetica"/>
          <w:kern w:val="0"/>
          <w:sz w:val="32"/>
          <w:szCs w:val="32"/>
        </w:rPr>
      </w:pPr>
      <w:r>
        <w:rPr>
          <w:rFonts w:ascii="楷体_GB2312" w:eastAsia="楷体_GB2312" w:hAnsi="楷体_GB2312" w:cs="楷体_GB2312" w:hint="eastAsia"/>
          <w:b/>
          <w:bCs/>
          <w:color w:val="000000" w:themeColor="text1"/>
          <w:kern w:val="0"/>
          <w:sz w:val="32"/>
          <w:szCs w:val="32"/>
        </w:rPr>
        <w:t>2.调查监测二科的主要职责是:</w:t>
      </w:r>
      <w:r>
        <w:rPr>
          <w:rFonts w:ascii="仿宋_GB2312" w:eastAsia="仿宋_GB2312" w:hAnsi="仿宋_GB2312" w:cs="仿宋_GB2312" w:hint="eastAsia"/>
          <w:color w:val="000000" w:themeColor="text1"/>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557495" w:rsidRDefault="003077E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57495" w:rsidRDefault="003077E5">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为119.97万元，比上年增加20.13万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增加16.8</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sz w:val="32"/>
        </w:rPr>
        <w:t>社保基数调</w:t>
      </w:r>
      <w:r>
        <w:rPr>
          <w:rFonts w:ascii="仿宋_GB2312" w:eastAsia="仿宋_GB2312"/>
          <w:sz w:val="32"/>
        </w:rPr>
        <w:lastRenderedPageBreak/>
        <w:t>整，</w:t>
      </w:r>
      <w:r>
        <w:rPr>
          <w:rFonts w:ascii="仿宋" w:eastAsia="仿宋" w:hAnsi="仿宋" w:cs="仿宋_GB2312" w:hint="eastAsia"/>
          <w:bCs/>
          <w:kern w:val="0"/>
          <w:sz w:val="32"/>
          <w:szCs w:val="32"/>
        </w:rPr>
        <w:t>社会保障和就业支出增加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收入119.97</w:t>
      </w:r>
      <w:r>
        <w:rPr>
          <w:rFonts w:ascii="仿宋_GB2312" w:eastAsia="仿宋_GB2312"/>
          <w:sz w:val="32"/>
        </w:rPr>
        <w:t>万元，</w:t>
      </w:r>
      <w:r>
        <w:rPr>
          <w:rFonts w:ascii="仿宋" w:eastAsia="仿宋" w:hAnsi="仿宋" w:cs="仿宋_GB2312" w:hint="eastAsia"/>
          <w:bCs/>
          <w:kern w:val="0"/>
          <w:sz w:val="32"/>
          <w:szCs w:val="32"/>
        </w:rPr>
        <w:t>比上年增加12.28万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增加13.3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557495" w:rsidRDefault="003077E5">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2024年预算支出119.97万元, 比上年增加20.13万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增加16.8</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。其中：一般公共服务支出92.11万元，比上年增加12.28万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增加12.3</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；社会保障和就业支出20.15万元，比上年增加6.81万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增加51.1</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；住房保障支出7.71万元，比上年增加1.04万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增加15.6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557495" w:rsidRDefault="00D603D7">
      <w:pPr>
        <w:widowControl/>
        <w:spacing w:line="520" w:lineRule="exact"/>
        <w:ind w:firstLineChars="200" w:firstLine="640"/>
        <w:rPr>
          <w:rFonts w:ascii="仿宋_GB2312" w:eastAsia="仿宋_GB2312"/>
          <w:sz w:val="32"/>
        </w:rPr>
      </w:pPr>
      <w:r>
        <w:rPr>
          <w:rFonts w:ascii="仿宋_GB2312" w:eastAsia="仿宋_GB2312" w:hint="eastAsia"/>
          <w:sz w:val="32"/>
        </w:rPr>
        <w:t>支出增加和减少</w:t>
      </w:r>
      <w:r w:rsidR="003077E5">
        <w:rPr>
          <w:rFonts w:ascii="仿宋_GB2312" w:eastAsia="仿宋_GB2312" w:hint="eastAsia"/>
          <w:sz w:val="32"/>
        </w:rPr>
        <w:t>原因：</w:t>
      </w:r>
    </w:p>
    <w:p w:rsidR="00557495" w:rsidRDefault="003077E5">
      <w:pPr>
        <w:widowControl/>
        <w:spacing w:line="520" w:lineRule="exact"/>
        <w:ind w:firstLineChars="200" w:firstLine="640"/>
        <w:rPr>
          <w:rFonts w:ascii="仿宋_GB2312" w:eastAsia="仿宋_GB2312"/>
          <w:sz w:val="32"/>
        </w:rPr>
      </w:pPr>
      <w:r>
        <w:rPr>
          <w:rFonts w:ascii="仿宋_GB2312" w:eastAsia="仿宋_GB2312" w:hint="eastAsia"/>
          <w:sz w:val="32"/>
        </w:rPr>
        <w:t>（1）2024年基本支出115.47万元</w:t>
      </w:r>
      <w:r>
        <w:rPr>
          <w:rFonts w:ascii="仿宋_GB2312" w:eastAsia="仿宋_GB2312"/>
          <w:sz w:val="32"/>
        </w:rPr>
        <w:t>，</w:t>
      </w:r>
      <w:r>
        <w:rPr>
          <w:rFonts w:ascii="仿宋_GB2312" w:eastAsia="仿宋_GB2312" w:hint="eastAsia"/>
          <w:sz w:val="32"/>
        </w:rPr>
        <w:t>比上年增加28.63万元，</w:t>
      </w:r>
      <w:r>
        <w:rPr>
          <w:rFonts w:ascii="仿宋" w:eastAsia="仿宋" w:hAnsi="仿宋" w:cs="仿宋_GB2312" w:hint="eastAsia"/>
          <w:bCs/>
          <w:kern w:val="0"/>
          <w:sz w:val="32"/>
          <w:szCs w:val="32"/>
        </w:rPr>
        <w:t>增加33.0</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sz w:val="32"/>
        </w:rPr>
        <w:t>社保基数调整，</w:t>
      </w:r>
      <w:r>
        <w:rPr>
          <w:rFonts w:ascii="仿宋" w:eastAsia="仿宋" w:hAnsi="仿宋" w:cs="仿宋_GB2312" w:hint="eastAsia"/>
          <w:bCs/>
          <w:kern w:val="0"/>
          <w:sz w:val="32"/>
          <w:szCs w:val="32"/>
        </w:rPr>
        <w:t>社会保障和就业支出增加</w:t>
      </w:r>
      <w:r>
        <w:rPr>
          <w:rFonts w:ascii="仿宋_GB2312" w:eastAsia="仿宋_GB2312" w:hint="eastAsia"/>
          <w:sz w:val="32"/>
        </w:rPr>
        <w:t>。</w:t>
      </w:r>
    </w:p>
    <w:p w:rsidR="00557495" w:rsidRDefault="003077E5">
      <w:pPr>
        <w:widowControl/>
        <w:spacing w:line="520" w:lineRule="exact"/>
        <w:ind w:firstLineChars="200" w:firstLine="640"/>
        <w:rPr>
          <w:rFonts w:ascii="仿宋_GB2312" w:eastAsia="仿宋_GB2312"/>
          <w:sz w:val="32"/>
        </w:rPr>
      </w:pPr>
      <w:r>
        <w:rPr>
          <w:rFonts w:ascii="仿宋_GB2312" w:eastAsia="仿宋_GB2312" w:hint="eastAsia"/>
          <w:sz w:val="32"/>
        </w:rPr>
        <w:t>（2）2024年项目支</w:t>
      </w:r>
      <w:r w:rsidR="00EE5379">
        <w:rPr>
          <w:rFonts w:ascii="仿宋_GB2312" w:eastAsia="仿宋_GB2312" w:hint="eastAsia"/>
          <w:sz w:val="32"/>
        </w:rPr>
        <w:t>出</w:t>
      </w:r>
      <w:r>
        <w:rPr>
          <w:rFonts w:ascii="仿宋_GB2312" w:eastAsia="仿宋_GB2312" w:hint="eastAsia"/>
          <w:sz w:val="32"/>
        </w:rPr>
        <w:t>4.5万元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减少8.5</w:t>
      </w:r>
      <w:r>
        <w:rPr>
          <w:rFonts w:ascii="仿宋_GB2312" w:eastAsia="仿宋_GB2312" w:hint="eastAsia"/>
          <w:sz w:val="32"/>
        </w:rPr>
        <w:t>万元，</w:t>
      </w:r>
      <w:r>
        <w:rPr>
          <w:rFonts w:ascii="仿宋" w:eastAsia="仿宋" w:hAnsi="仿宋" w:cs="仿宋_GB2312" w:hint="eastAsia"/>
          <w:bCs/>
          <w:kern w:val="0"/>
          <w:sz w:val="32"/>
          <w:szCs w:val="32"/>
        </w:rPr>
        <w:t>减少65.4</w:t>
      </w:r>
      <w:r>
        <w:rPr>
          <w:rFonts w:ascii="仿宋" w:eastAsia="仿宋" w:hAnsi="仿宋" w:cs="仿宋_GB2312"/>
          <w:bCs/>
          <w:kern w:val="0"/>
          <w:sz w:val="32"/>
          <w:szCs w:val="32"/>
        </w:rPr>
        <w:t>%,</w:t>
      </w:r>
      <w:r>
        <w:rPr>
          <w:rFonts w:ascii="仿宋_GB2312" w:eastAsia="仿宋_GB2312" w:hint="eastAsia"/>
          <w:sz w:val="32"/>
        </w:rPr>
        <w:t>主要原因：</w:t>
      </w:r>
      <w:r>
        <w:rPr>
          <w:rFonts w:ascii="Times New Roman" w:eastAsia="仿宋_GB2312" w:hAnsi="Times New Roman" w:cs="Times New Roman" w:hint="eastAsia"/>
          <w:sz w:val="32"/>
          <w:szCs w:val="32"/>
        </w:rPr>
        <w:t>厉行节约，控制公务开支，优先保障人员经费，缩减项目经费预算。</w:t>
      </w:r>
    </w:p>
    <w:p w:rsidR="00557495" w:rsidRDefault="003077E5">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557495" w:rsidRDefault="003077E5">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2024年机关运行经费13.8万元，</w:t>
      </w:r>
      <w:r>
        <w:rPr>
          <w:rFonts w:ascii="仿宋_GB2312" w:eastAsia="仿宋_GB2312" w:hint="eastAsia"/>
          <w:sz w:val="32"/>
        </w:rPr>
        <w:t>较上年相比增加3.8万元，</w:t>
      </w:r>
      <w:r>
        <w:rPr>
          <w:rFonts w:ascii="仿宋" w:eastAsia="仿宋" w:hAnsi="仿宋" w:cs="仿宋_GB2312" w:hint="eastAsia"/>
          <w:bCs/>
          <w:kern w:val="0"/>
          <w:sz w:val="32"/>
          <w:szCs w:val="32"/>
        </w:rPr>
        <w:t>增加38</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增加主要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增加了差旅费和印刷费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：办公费1万元，邮电费0.1万元，差旅费2.35万元，水费0.06万元，电费1.44万元，印刷费2万元，工会经费1.3万元，福利费0.95万元，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用2.88万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其他商品和服务支出1.72万元。</w:t>
      </w:r>
    </w:p>
    <w:p w:rsidR="00557495" w:rsidRDefault="003077E5">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EE5379" w:rsidRDefault="00EE5379" w:rsidP="00EE537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EE5379" w:rsidRDefault="00EE5379" w:rsidP="00EE5379">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lastRenderedPageBreak/>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E5379" w:rsidRDefault="00EE5379" w:rsidP="00EE5379">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E5379" w:rsidRDefault="00EE5379" w:rsidP="00EE5379">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57495" w:rsidRDefault="003077E5">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557495" w:rsidRDefault="003077E5">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 w:eastAsia="仿宋" w:hAnsi="仿宋" w:cs="Helvetica" w:hint="eastAsia"/>
          <w:bCs/>
          <w:kern w:val="0"/>
          <w:sz w:val="32"/>
          <w:szCs w:val="32"/>
        </w:rPr>
        <w:t>与上年持平</w:t>
      </w:r>
      <w:r>
        <w:rPr>
          <w:rFonts w:ascii="仿宋_GB2312" w:eastAsia="仿宋_GB2312" w:hint="eastAsia"/>
          <w:sz w:val="32"/>
        </w:rPr>
        <w:t>，主要原因：我单位无政府采购预算。其中</w:t>
      </w:r>
      <w:r>
        <w:rPr>
          <w:rFonts w:ascii="仿宋_GB2312" w:eastAsia="仿宋_GB2312"/>
          <w:sz w:val="32"/>
        </w:rPr>
        <w:t>：货物类政府采购预算0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类政府采购预算0</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无工程类采购任务;服务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w:t>
      </w:r>
      <w:r>
        <w:rPr>
          <w:rFonts w:ascii="仿宋" w:eastAsia="仿宋" w:hAnsi="仿宋" w:cs="Helvetica" w:hint="eastAsia"/>
          <w:bCs/>
          <w:kern w:val="0"/>
          <w:sz w:val="32"/>
          <w:szCs w:val="32"/>
        </w:rPr>
        <w:t>无服务类政府采购任务。</w:t>
      </w:r>
    </w:p>
    <w:p w:rsidR="00557495" w:rsidRDefault="003077E5">
      <w:pPr>
        <w:widowControl/>
        <w:spacing w:line="52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r>
        <w:rPr>
          <w:rFonts w:ascii="仿宋_GB2312" w:eastAsia="仿宋_GB2312" w:hAnsi="仿宋_GB2312" w:cs="仿宋_GB2312" w:hint="eastAsia"/>
          <w:color w:val="000000" w:themeColor="text1"/>
          <w:kern w:val="0"/>
          <w:sz w:val="32"/>
          <w:szCs w:val="32"/>
        </w:rPr>
        <w:t>我单位未单独安排政府采购预算。</w:t>
      </w:r>
    </w:p>
    <w:p w:rsidR="00557495" w:rsidRDefault="003077E5">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557495" w:rsidRDefault="003077E5">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省级干部及以上领导干部用车0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执法执勤用车0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w:t>
      </w:r>
      <w:r>
        <w:rPr>
          <w:rFonts w:ascii="仿宋" w:eastAsia="仿宋" w:hAnsi="仿宋" w:cs="Helvetica" w:hint="eastAsia"/>
          <w:bCs/>
          <w:kern w:val="0"/>
          <w:sz w:val="32"/>
          <w:szCs w:val="32"/>
        </w:rPr>
        <w:lastRenderedPageBreak/>
        <w:t>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557495" w:rsidRDefault="003077E5">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557495" w:rsidRDefault="003077E5">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其他应急执法检查和专项检查任务。2024年</w:t>
      </w:r>
      <w:r>
        <w:rPr>
          <w:rFonts w:ascii="仿宋_GB2312" w:eastAsia="仿宋_GB2312" w:hint="eastAsia"/>
          <w:sz w:val="32"/>
        </w:rPr>
        <w:t>预算安排4.5万元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557495" w:rsidRDefault="003077E5">
      <w:pPr>
        <w:widowControl/>
        <w:spacing w:line="560" w:lineRule="exact"/>
        <w:ind w:firstLineChars="200" w:firstLine="640"/>
        <w:rPr>
          <w:rFonts w:ascii="仿宋_GB2312" w:eastAsia="仿宋_GB2312"/>
          <w:sz w:val="32"/>
        </w:rPr>
      </w:pPr>
      <w:r>
        <w:rPr>
          <w:rFonts w:ascii="仿宋_GB2312" w:eastAsia="仿宋_GB2312" w:hint="eastAsia"/>
          <w:sz w:val="32"/>
        </w:rPr>
        <w:t>2024年度项目绩效总目标是：健全统计执法机制，强化统计基层基础工作建设，完成对统计执法和数据质量的核查，严肃整治在统计上弄虚作假的行为。开展全县统计法规业务培训，配合上级进行省、市、县三级联动数据质量检查；进行执法检查，严肃查处违纪违法行为。全面提高我县规上企业的数据质量，提供高质量的监测成果，提升监测分析水平。对规上企业统计数据监测数据库进行更新维护，完成统计数据监测分析报告，印制数据产品。</w:t>
      </w:r>
    </w:p>
    <w:p w:rsidR="00557495" w:rsidRDefault="003077E5">
      <w:pPr>
        <w:widowControl/>
        <w:spacing w:line="560" w:lineRule="exact"/>
        <w:ind w:firstLineChars="200" w:firstLine="640"/>
        <w:rPr>
          <w:rFonts w:ascii="仿宋_GB2312" w:eastAsia="仿宋_GB2312"/>
          <w:sz w:val="32"/>
        </w:rPr>
      </w:pPr>
      <w:r>
        <w:rPr>
          <w:rFonts w:ascii="仿宋_GB2312" w:eastAsia="仿宋_GB2312" w:hint="eastAsia"/>
          <w:sz w:val="32"/>
        </w:rPr>
        <w:t>产出指标：数据质量检查频次为4次/年</w:t>
      </w:r>
      <w:r>
        <w:rPr>
          <w:rFonts w:ascii="仿宋_GB2312" w:eastAsia="仿宋_GB2312"/>
          <w:sz w:val="32"/>
        </w:rPr>
        <w:t>；</w:t>
      </w:r>
      <w:r>
        <w:rPr>
          <w:rFonts w:ascii="仿宋_GB2312" w:eastAsia="仿宋_GB2312" w:hint="eastAsia"/>
          <w:sz w:val="32"/>
        </w:rPr>
        <w:t>办公用品采购验收通过率达到100%</w:t>
      </w:r>
      <w:r>
        <w:rPr>
          <w:rFonts w:ascii="仿宋_GB2312" w:eastAsia="仿宋_GB2312"/>
          <w:sz w:val="32"/>
        </w:rPr>
        <w:t>；</w:t>
      </w:r>
      <w:r>
        <w:rPr>
          <w:rFonts w:ascii="仿宋_GB2312" w:eastAsia="仿宋_GB2312" w:hint="eastAsia"/>
          <w:sz w:val="32"/>
        </w:rPr>
        <w:t>数据上报及时、及时上报。</w:t>
      </w:r>
    </w:p>
    <w:p w:rsidR="00557495" w:rsidRDefault="003077E5">
      <w:pPr>
        <w:widowControl/>
        <w:spacing w:line="560" w:lineRule="exact"/>
        <w:ind w:firstLineChars="200" w:firstLine="640"/>
        <w:rPr>
          <w:rFonts w:ascii="仿宋_GB2312" w:eastAsia="仿宋_GB2312"/>
          <w:sz w:val="32"/>
        </w:rPr>
      </w:pPr>
      <w:r>
        <w:rPr>
          <w:rFonts w:ascii="仿宋_GB2312" w:eastAsia="仿宋_GB2312" w:hint="eastAsia"/>
          <w:sz w:val="32"/>
        </w:rPr>
        <w:t>效益指标：统计法制宣传方式多样性采取≥3种。</w:t>
      </w:r>
    </w:p>
    <w:p w:rsidR="00557495" w:rsidRDefault="003077E5">
      <w:pPr>
        <w:widowControl/>
        <w:spacing w:line="560" w:lineRule="exact"/>
        <w:ind w:firstLineChars="200" w:firstLine="640"/>
        <w:rPr>
          <w:rFonts w:ascii="仿宋_GB2312" w:eastAsia="仿宋_GB2312"/>
          <w:sz w:val="32"/>
        </w:rPr>
      </w:pPr>
      <w:r>
        <w:rPr>
          <w:rFonts w:ascii="仿宋_GB2312" w:eastAsia="仿宋_GB2312" w:hint="eastAsia"/>
          <w:sz w:val="32"/>
        </w:rPr>
        <w:t>满意度指标：政府部门级社会公众满意度≥</w:t>
      </w:r>
      <w:r>
        <w:rPr>
          <w:rFonts w:ascii="仿宋_GB2312" w:eastAsia="仿宋_GB2312"/>
          <w:sz w:val="32"/>
        </w:rPr>
        <w:t>85</w:t>
      </w:r>
      <w:r>
        <w:rPr>
          <w:rFonts w:ascii="仿宋_GB2312" w:eastAsia="仿宋_GB2312" w:hint="eastAsia"/>
          <w:sz w:val="32"/>
        </w:rPr>
        <w:t>%。</w:t>
      </w:r>
    </w:p>
    <w:p w:rsidR="00557495" w:rsidRDefault="003077E5">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557495" w:rsidRDefault="003077E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557495" w:rsidRDefault="003077E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557495" w:rsidRDefault="003077E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557495" w:rsidRDefault="003077E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2.其他情况的说明：</w:t>
      </w:r>
    </w:p>
    <w:p w:rsidR="00557495" w:rsidRDefault="003077E5">
      <w:pPr>
        <w:widowControl/>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w:t>
      </w:r>
      <w:bookmarkStart w:id="0" w:name="_GoBack"/>
      <w:r>
        <w:rPr>
          <w:rFonts w:ascii="仿宋_GB2312" w:eastAsia="仿宋_GB2312" w:hAnsi="仿宋_GB2312" w:cs="仿宋_GB2312" w:hint="eastAsia"/>
          <w:bCs/>
          <w:kern w:val="0"/>
          <w:sz w:val="32"/>
          <w:szCs w:val="32"/>
        </w:rPr>
        <w:t xml:space="preserve"> 本单位专项支出。 2024年本单位专项支出为0，与上年相比无变化。</w:t>
      </w:r>
    </w:p>
    <w:p w:rsidR="00557495" w:rsidRDefault="003077E5">
      <w:pPr>
        <w:widowControl/>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一般性转移支付支出。2024年一般性转移支付支出为0，与上年相比无变化。</w:t>
      </w:r>
    </w:p>
    <w:p w:rsidR="00557495" w:rsidRDefault="003077E5">
      <w:pPr>
        <w:widowControl/>
        <w:spacing w:line="560"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专项转移支付支出。2024年专项转移支付支出为0，与上年相比无变化。</w:t>
      </w:r>
    </w:p>
    <w:bookmarkEnd w:id="0"/>
    <w:p w:rsidR="00557495" w:rsidRDefault="003077E5">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557495" w:rsidRDefault="003077E5">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557495" w:rsidRDefault="003077E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557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22" w:rsidRDefault="00442B22" w:rsidP="00EE5379">
      <w:r>
        <w:separator/>
      </w:r>
    </w:p>
  </w:endnote>
  <w:endnote w:type="continuationSeparator" w:id="0">
    <w:p w:rsidR="00442B22" w:rsidRDefault="00442B22" w:rsidP="00EE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22" w:rsidRDefault="00442B22" w:rsidP="00EE5379">
      <w:r>
        <w:separator/>
      </w:r>
    </w:p>
  </w:footnote>
  <w:footnote w:type="continuationSeparator" w:id="0">
    <w:p w:rsidR="00442B22" w:rsidRDefault="00442B22" w:rsidP="00EE5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0ZWE0YjFjODBhMTFkYzc3Mzk5ZjA3YTVmZmM4YzYifQ=="/>
  </w:docVars>
  <w:rsids>
    <w:rsidRoot w:val="0010135B"/>
    <w:rsid w:val="BABF655E"/>
    <w:rsid w:val="BF6B3CC2"/>
    <w:rsid w:val="D79FB302"/>
    <w:rsid w:val="EF9E0EAB"/>
    <w:rsid w:val="F2B28303"/>
    <w:rsid w:val="0007474A"/>
    <w:rsid w:val="000F1F99"/>
    <w:rsid w:val="0010135B"/>
    <w:rsid w:val="00104384"/>
    <w:rsid w:val="001212FB"/>
    <w:rsid w:val="001F06A4"/>
    <w:rsid w:val="002144B6"/>
    <w:rsid w:val="00295E97"/>
    <w:rsid w:val="002D3ABD"/>
    <w:rsid w:val="002F12C2"/>
    <w:rsid w:val="0030520C"/>
    <w:rsid w:val="003077E5"/>
    <w:rsid w:val="00322A49"/>
    <w:rsid w:val="003E7A9D"/>
    <w:rsid w:val="004041DC"/>
    <w:rsid w:val="004203F4"/>
    <w:rsid w:val="00442B22"/>
    <w:rsid w:val="00446C71"/>
    <w:rsid w:val="004503F7"/>
    <w:rsid w:val="004D0181"/>
    <w:rsid w:val="004F0C1C"/>
    <w:rsid w:val="0051352A"/>
    <w:rsid w:val="00534973"/>
    <w:rsid w:val="00557495"/>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603D7"/>
    <w:rsid w:val="00D87A1D"/>
    <w:rsid w:val="00DF71BD"/>
    <w:rsid w:val="00E25628"/>
    <w:rsid w:val="00E7467E"/>
    <w:rsid w:val="00E83A19"/>
    <w:rsid w:val="00EB36A7"/>
    <w:rsid w:val="00EB3CB1"/>
    <w:rsid w:val="00EB62F2"/>
    <w:rsid w:val="00EE5379"/>
    <w:rsid w:val="00EF1D11"/>
    <w:rsid w:val="00EF7695"/>
    <w:rsid w:val="00F014E5"/>
    <w:rsid w:val="00FE60EE"/>
    <w:rsid w:val="0EE23FEF"/>
    <w:rsid w:val="103976EC"/>
    <w:rsid w:val="24DB7B28"/>
    <w:rsid w:val="30E4056B"/>
    <w:rsid w:val="3EF28D76"/>
    <w:rsid w:val="3FFF7D07"/>
    <w:rsid w:val="43866960"/>
    <w:rsid w:val="498A7035"/>
    <w:rsid w:val="515B7CB7"/>
    <w:rsid w:val="5EFFE832"/>
    <w:rsid w:val="5F851AEA"/>
    <w:rsid w:val="63FD3CE3"/>
    <w:rsid w:val="769E3A91"/>
    <w:rsid w:val="7D7BCD23"/>
    <w:rsid w:val="7DBA28FE"/>
    <w:rsid w:val="7DFF587E"/>
    <w:rsid w:val="7F7F8A80"/>
    <w:rsid w:val="7F859FAF"/>
    <w:rsid w:val="7FF658F1"/>
    <w:rsid w:val="7FFFF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5E507E-9490-48A8-8221-2799C83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476</Words>
  <Characters>2717</Characters>
  <Application>Microsoft Office Word</Application>
  <DocSecurity>0</DocSecurity>
  <Lines>22</Lines>
  <Paragraphs>6</Paragraphs>
  <ScaleCrop>false</ScaleCrop>
  <Company>P R C</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7</cp:revision>
  <cp:lastPrinted>2022-02-23T18:20:00Z</cp:lastPrinted>
  <dcterms:created xsi:type="dcterms:W3CDTF">2024-02-22T22:27:00Z</dcterms:created>
  <dcterms:modified xsi:type="dcterms:W3CDTF">2024-03-18T05:07:00Z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AF56DFFA4F334381815F98F37E79E17A_13</vt:lpwstr>
  </property>
</Properties>
</file>