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795" w:rsidRDefault="000E7795">
      <w:pPr>
        <w:widowControl/>
        <w:jc w:val="center"/>
        <w:outlineLvl w:val="1"/>
        <w:rPr>
          <w:rFonts w:ascii="inherit" w:eastAsia="微软雅黑" w:hAnsi="inherit" w:cs="Helvetica" w:hint="eastAsia"/>
          <w:kern w:val="0"/>
          <w:sz w:val="45"/>
          <w:szCs w:val="45"/>
        </w:rPr>
      </w:pPr>
    </w:p>
    <w:p w:rsidR="000E7795" w:rsidRDefault="000E7795">
      <w:pPr>
        <w:widowControl/>
        <w:outlineLvl w:val="1"/>
        <w:rPr>
          <w:rFonts w:ascii="inherit" w:eastAsia="微软雅黑" w:hAnsi="inherit" w:cs="Helvetica" w:hint="eastAsia"/>
          <w:kern w:val="0"/>
          <w:sz w:val="45"/>
          <w:szCs w:val="45"/>
        </w:rPr>
      </w:pPr>
    </w:p>
    <w:p w:rsidR="000E7795" w:rsidRDefault="00D537AC">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w:t>
      </w:r>
      <w:r>
        <w:rPr>
          <w:rFonts w:ascii="黑体" w:eastAsia="黑体" w:hAnsi="黑体" w:cs="Helvetica"/>
          <w:kern w:val="0"/>
          <w:sz w:val="44"/>
          <w:szCs w:val="44"/>
        </w:rPr>
        <w:t>4</w:t>
      </w:r>
      <w:r>
        <w:rPr>
          <w:rFonts w:ascii="黑体" w:eastAsia="黑体" w:hAnsi="黑体" w:cs="Helvetica" w:hint="eastAsia"/>
          <w:kern w:val="0"/>
          <w:sz w:val="44"/>
          <w:szCs w:val="44"/>
        </w:rPr>
        <w:t>年湖北</w:t>
      </w:r>
      <w:r>
        <w:rPr>
          <w:rFonts w:ascii="黑体" w:eastAsia="黑体" w:hAnsi="黑体" w:cs="Helvetica"/>
          <w:kern w:val="0"/>
          <w:sz w:val="44"/>
          <w:szCs w:val="44"/>
        </w:rPr>
        <w:t>省统计局</w:t>
      </w:r>
      <w:r>
        <w:rPr>
          <w:rFonts w:ascii="黑体" w:eastAsia="黑体" w:hAnsi="黑体" w:cs="Helvetica" w:hint="eastAsia"/>
          <w:kern w:val="0"/>
          <w:sz w:val="44"/>
          <w:szCs w:val="44"/>
        </w:rPr>
        <w:t>咸宁</w:t>
      </w:r>
      <w:r>
        <w:rPr>
          <w:rFonts w:ascii="黑体" w:eastAsia="黑体" w:hAnsi="黑体" w:cs="Helvetica"/>
          <w:kern w:val="0"/>
          <w:sz w:val="44"/>
          <w:szCs w:val="44"/>
        </w:rPr>
        <w:t>调查监测</w:t>
      </w:r>
      <w:r>
        <w:rPr>
          <w:rFonts w:ascii="黑体" w:eastAsia="黑体" w:hAnsi="黑体" w:cs="Helvetica" w:hint="eastAsia"/>
          <w:kern w:val="0"/>
          <w:sz w:val="44"/>
          <w:szCs w:val="44"/>
        </w:rPr>
        <w:t>分局</w:t>
      </w:r>
    </w:p>
    <w:p w:rsidR="000E7795" w:rsidRDefault="00D537AC">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预算公开情况</w:t>
      </w:r>
      <w:r>
        <w:rPr>
          <w:rFonts w:ascii="黑体" w:eastAsia="黑体" w:hAnsi="黑体" w:cs="Helvetica"/>
          <w:kern w:val="0"/>
          <w:sz w:val="44"/>
          <w:szCs w:val="44"/>
        </w:rPr>
        <w:t>说明</w:t>
      </w:r>
    </w:p>
    <w:p w:rsidR="000E7795" w:rsidRDefault="00D537AC">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0E7795" w:rsidRDefault="000E7795">
      <w:pPr>
        <w:widowControl/>
        <w:rPr>
          <w:rFonts w:asciiTheme="minorEastAsia" w:hAnsiTheme="minorEastAsia" w:cs="Helvetica"/>
          <w:kern w:val="0"/>
          <w:sz w:val="24"/>
          <w:szCs w:val="24"/>
        </w:rPr>
      </w:pPr>
    </w:p>
    <w:p w:rsidR="000E7795" w:rsidRDefault="000E7795">
      <w:pPr>
        <w:widowControl/>
        <w:rPr>
          <w:rFonts w:asciiTheme="minorEastAsia" w:hAnsiTheme="minorEastAsia" w:cs="Helvetica"/>
          <w:kern w:val="0"/>
          <w:sz w:val="24"/>
          <w:szCs w:val="24"/>
        </w:rPr>
      </w:pPr>
    </w:p>
    <w:p w:rsidR="000E7795" w:rsidRDefault="00D537AC">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0E7795" w:rsidRDefault="000E7795">
      <w:pPr>
        <w:widowControl/>
        <w:spacing w:line="480" w:lineRule="exact"/>
        <w:jc w:val="left"/>
        <w:rPr>
          <w:rFonts w:asciiTheme="minorEastAsia" w:hAnsiTheme="minorEastAsia" w:cs="Helvetica"/>
          <w:kern w:val="0"/>
          <w:sz w:val="24"/>
          <w:szCs w:val="24"/>
        </w:rPr>
      </w:pPr>
    </w:p>
    <w:p w:rsidR="000E7795" w:rsidRDefault="00D537A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0E7795" w:rsidRDefault="00D537A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0E7795" w:rsidRDefault="00D537A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0E7795" w:rsidRDefault="00D537A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0E7795" w:rsidRDefault="00D537A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0E7795" w:rsidRDefault="00D537A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0E7795" w:rsidRDefault="00D537A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0E7795" w:rsidRDefault="00D537A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0E7795" w:rsidRDefault="00D537A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0E7795" w:rsidRDefault="00D537AC">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0E7795" w:rsidRDefault="00D537AC">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0E7795" w:rsidRDefault="00D537AC">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0E7795" w:rsidRDefault="000E7795">
      <w:pPr>
        <w:widowControl/>
        <w:spacing w:line="520" w:lineRule="exact"/>
        <w:ind w:firstLineChars="150" w:firstLine="361"/>
        <w:rPr>
          <w:rFonts w:asciiTheme="minorEastAsia" w:hAnsiTheme="minorEastAsia" w:cs="Helvetica"/>
          <w:b/>
          <w:kern w:val="0"/>
          <w:sz w:val="24"/>
          <w:szCs w:val="24"/>
        </w:rPr>
      </w:pPr>
    </w:p>
    <w:p w:rsidR="000E7795" w:rsidRDefault="000E7795">
      <w:pPr>
        <w:widowControl/>
        <w:spacing w:line="520" w:lineRule="exact"/>
        <w:rPr>
          <w:rFonts w:asciiTheme="minorEastAsia" w:hAnsiTheme="minorEastAsia" w:cs="Helvetica"/>
          <w:b/>
          <w:kern w:val="0"/>
          <w:sz w:val="24"/>
          <w:szCs w:val="24"/>
        </w:rPr>
      </w:pPr>
    </w:p>
    <w:p w:rsidR="000E7795" w:rsidRDefault="000E7795">
      <w:pPr>
        <w:widowControl/>
        <w:spacing w:line="520" w:lineRule="exact"/>
        <w:ind w:firstLineChars="150" w:firstLine="361"/>
        <w:rPr>
          <w:rFonts w:asciiTheme="minorEastAsia" w:hAnsiTheme="minorEastAsia" w:cs="Helvetica"/>
          <w:b/>
          <w:kern w:val="0"/>
          <w:sz w:val="24"/>
          <w:szCs w:val="24"/>
        </w:rPr>
      </w:pPr>
    </w:p>
    <w:p w:rsidR="000E7795" w:rsidRDefault="000E7795">
      <w:pPr>
        <w:widowControl/>
        <w:spacing w:line="520" w:lineRule="exact"/>
        <w:rPr>
          <w:rFonts w:asciiTheme="minorEastAsia" w:hAnsiTheme="minorEastAsia" w:cs="Helvetica"/>
          <w:b/>
          <w:kern w:val="0"/>
          <w:sz w:val="24"/>
          <w:szCs w:val="24"/>
        </w:rPr>
      </w:pPr>
    </w:p>
    <w:p w:rsidR="000E7795" w:rsidRDefault="00D537AC">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0E7795" w:rsidRDefault="005478B4">
      <w:pPr>
        <w:widowControl/>
        <w:spacing w:line="560" w:lineRule="exact"/>
        <w:ind w:firstLineChars="200" w:firstLine="640"/>
        <w:rPr>
          <w:rFonts w:ascii="黑体" w:eastAsia="黑体" w:hAnsi="黑体" w:cs="黑体"/>
          <w:kern w:val="0"/>
          <w:sz w:val="32"/>
          <w:szCs w:val="32"/>
        </w:rPr>
      </w:pPr>
      <w:r>
        <w:rPr>
          <w:rFonts w:ascii="仿宋" w:eastAsia="仿宋" w:hAnsi="仿宋" w:cs="仿宋" w:hint="eastAsia"/>
          <w:sz w:val="32"/>
          <w:szCs w:val="32"/>
        </w:rPr>
        <w:t>负责组织实施所辖区域统计数据质量核查工作;</w:t>
      </w:r>
      <w:r w:rsidR="00D537AC">
        <w:rPr>
          <w:rFonts w:ascii="仿宋" w:eastAsia="仿宋" w:hAnsi="仿宋" w:cs="仿宋" w:hint="eastAsia"/>
          <w:sz w:val="32"/>
          <w:szCs w:val="32"/>
        </w:rPr>
        <w:t>配合省局开展统计执法检查工作</w:t>
      </w:r>
      <w:r>
        <w:rPr>
          <w:rFonts w:ascii="仿宋" w:eastAsia="仿宋" w:hAnsi="仿宋" w:cs="仿宋" w:hint="eastAsia"/>
          <w:sz w:val="32"/>
          <w:szCs w:val="32"/>
        </w:rPr>
        <w:t>;</w:t>
      </w:r>
      <w:r w:rsidR="00D537AC">
        <w:rPr>
          <w:rFonts w:ascii="仿宋" w:eastAsia="仿宋" w:hAnsi="仿宋" w:cs="仿宋" w:hint="eastAsia"/>
          <w:sz w:val="32"/>
          <w:szCs w:val="32"/>
        </w:rPr>
        <w:t>承担省调查监测中心布置的所辖区域内“四下”单位抽样调查工作</w:t>
      </w:r>
      <w:r>
        <w:rPr>
          <w:rFonts w:ascii="仿宋" w:eastAsia="仿宋" w:hAnsi="仿宋" w:cs="仿宋" w:hint="eastAsia"/>
          <w:sz w:val="32"/>
          <w:szCs w:val="32"/>
        </w:rPr>
        <w:t>;</w:t>
      </w:r>
      <w:r w:rsidR="00D537AC">
        <w:rPr>
          <w:rFonts w:ascii="仿宋" w:eastAsia="仿宋" w:hAnsi="仿宋" w:cs="仿宋" w:hint="eastAsia"/>
          <w:sz w:val="32"/>
          <w:szCs w:val="32"/>
        </w:rPr>
        <w:t>承担国家城市统计年报及城市高质量发展统计监测工作</w:t>
      </w:r>
      <w:r>
        <w:rPr>
          <w:rFonts w:ascii="仿宋" w:eastAsia="仿宋" w:hAnsi="仿宋" w:cs="仿宋" w:hint="eastAsia"/>
          <w:sz w:val="32"/>
          <w:szCs w:val="32"/>
        </w:rPr>
        <w:t>;</w:t>
      </w:r>
      <w:r w:rsidR="00D537AC">
        <w:rPr>
          <w:rFonts w:ascii="仿宋" w:eastAsia="仿宋" w:hAnsi="仿宋" w:cs="仿宋" w:hint="eastAsia"/>
          <w:sz w:val="32"/>
          <w:szCs w:val="32"/>
        </w:rPr>
        <w:t>承担省委省政府重大战略决策部署实施进展统计监测工作</w:t>
      </w:r>
      <w:r>
        <w:rPr>
          <w:rFonts w:ascii="仿宋" w:eastAsia="仿宋" w:hAnsi="仿宋" w:cs="仿宋" w:hint="eastAsia"/>
          <w:sz w:val="32"/>
          <w:szCs w:val="32"/>
        </w:rPr>
        <w:t>;</w:t>
      </w:r>
      <w:r w:rsidR="00D537AC">
        <w:rPr>
          <w:rFonts w:ascii="仿宋" w:eastAsia="仿宋" w:hAnsi="仿宋" w:cs="仿宋" w:hint="eastAsia"/>
          <w:sz w:val="32"/>
          <w:szCs w:val="32"/>
        </w:rPr>
        <w:t>承担省局和省调查监测中心布置的省委省政府专项调查工作。</w:t>
      </w:r>
    </w:p>
    <w:p w:rsidR="000E7795" w:rsidRDefault="00D537AC">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二、机构设置情况</w:t>
      </w:r>
    </w:p>
    <w:p w:rsidR="000E7795" w:rsidRDefault="00D537AC">
      <w:pPr>
        <w:widowControl/>
        <w:spacing w:line="560" w:lineRule="exact"/>
        <w:ind w:firstLineChars="200" w:firstLine="640"/>
        <w:rPr>
          <w:rFonts w:ascii="仿宋" w:eastAsia="仿宋" w:hAnsi="仿宋" w:cs="仿宋"/>
          <w:sz w:val="32"/>
          <w:szCs w:val="32"/>
          <w:lang w:val="zh-CN"/>
        </w:rPr>
      </w:pPr>
      <w:r>
        <w:rPr>
          <w:rFonts w:ascii="仿宋" w:eastAsia="仿宋" w:hAnsi="仿宋" w:cs="仿宋" w:hint="eastAsia"/>
          <w:sz w:val="32"/>
          <w:szCs w:val="32"/>
          <w:lang w:val="zh-CN"/>
        </w:rPr>
        <w:t>我单位设2个内设机构：调查监测一科、调查监测二科。</w:t>
      </w:r>
    </w:p>
    <w:p w:rsidR="000E7795" w:rsidRDefault="00D537AC">
      <w:pPr>
        <w:widowControl/>
        <w:spacing w:line="560" w:lineRule="exact"/>
        <w:ind w:firstLineChars="200" w:firstLine="643"/>
        <w:rPr>
          <w:rFonts w:ascii="仿宋" w:eastAsia="仿宋" w:hAnsi="仿宋" w:cs="仿宋"/>
          <w:sz w:val="32"/>
          <w:szCs w:val="32"/>
          <w:lang w:val="zh-CN"/>
        </w:rPr>
      </w:pPr>
      <w:r>
        <w:rPr>
          <w:rFonts w:ascii="楷体" w:eastAsia="楷体" w:hAnsi="楷体" w:cs="楷体" w:hint="eastAsia"/>
          <w:b/>
          <w:bCs/>
          <w:sz w:val="32"/>
          <w:szCs w:val="32"/>
        </w:rPr>
        <w:t>1.</w:t>
      </w:r>
      <w:r>
        <w:rPr>
          <w:rFonts w:ascii="楷体" w:eastAsia="楷体" w:hAnsi="楷体" w:cs="楷体" w:hint="eastAsia"/>
          <w:b/>
          <w:bCs/>
          <w:sz w:val="32"/>
          <w:szCs w:val="32"/>
          <w:lang w:val="zh-CN"/>
        </w:rPr>
        <w:t>调查监测一科的主要职责：</w:t>
      </w:r>
      <w:r>
        <w:rPr>
          <w:rFonts w:ascii="仿宋" w:eastAsia="仿宋" w:hAnsi="仿宋" w:cs="仿宋" w:hint="eastAsia"/>
          <w:sz w:val="32"/>
          <w:szCs w:val="32"/>
          <w:lang w:val="zh-CN"/>
        </w:rPr>
        <w:t>负责统计数据质量监测和核查；负责分局的日常管理和综合协调；负责县级调查队相关业务指导和协调；组织开展相关统计调查和监测工作；参与统计执法相关工作；参与大型国情国力调查等重大统计工作；协助</w:t>
      </w:r>
      <w:r>
        <w:rPr>
          <w:rFonts w:ascii="仿宋" w:eastAsia="仿宋" w:hAnsi="仿宋" w:cs="仿宋" w:hint="eastAsia"/>
          <w:sz w:val="32"/>
          <w:szCs w:val="32"/>
        </w:rPr>
        <w:t>咸宁</w:t>
      </w:r>
      <w:r>
        <w:rPr>
          <w:rFonts w:ascii="仿宋" w:eastAsia="仿宋" w:hAnsi="仿宋" w:cs="仿宋" w:hint="eastAsia"/>
          <w:sz w:val="32"/>
          <w:szCs w:val="32"/>
          <w:lang w:val="zh-CN"/>
        </w:rPr>
        <w:t>市统计局开展相关工作；完成省统计局、省统计局调查监测中心交办的其他工作。</w:t>
      </w:r>
    </w:p>
    <w:p w:rsidR="000E7795" w:rsidRDefault="00D537AC">
      <w:pPr>
        <w:widowControl/>
        <w:spacing w:line="560" w:lineRule="exact"/>
        <w:ind w:firstLineChars="200" w:firstLine="643"/>
        <w:rPr>
          <w:rFonts w:asciiTheme="majorEastAsia" w:eastAsiaTheme="majorEastAsia" w:hAnsiTheme="majorEastAsia" w:cs="Helvetica"/>
          <w:b/>
          <w:color w:val="333333"/>
          <w:kern w:val="0"/>
          <w:sz w:val="24"/>
          <w:szCs w:val="24"/>
        </w:rPr>
      </w:pPr>
      <w:r>
        <w:rPr>
          <w:rFonts w:ascii="楷体" w:eastAsia="楷体" w:hAnsi="楷体" w:cs="楷体" w:hint="eastAsia"/>
          <w:b/>
          <w:bCs/>
          <w:sz w:val="32"/>
          <w:szCs w:val="32"/>
        </w:rPr>
        <w:t>2.</w:t>
      </w:r>
      <w:r>
        <w:rPr>
          <w:rFonts w:ascii="楷体" w:eastAsia="楷体" w:hAnsi="楷体" w:cs="楷体" w:hint="eastAsia"/>
          <w:b/>
          <w:bCs/>
          <w:sz w:val="32"/>
          <w:szCs w:val="32"/>
          <w:lang w:val="zh-CN"/>
        </w:rPr>
        <w:t>调查监测二科的主要职责</w:t>
      </w:r>
      <w:r>
        <w:rPr>
          <w:rFonts w:ascii="楷体" w:eastAsia="楷体" w:hAnsi="楷体" w:cs="楷体" w:hint="eastAsia"/>
          <w:sz w:val="32"/>
          <w:szCs w:val="32"/>
          <w:lang w:val="zh-CN"/>
        </w:rPr>
        <w:t>：</w:t>
      </w:r>
      <w:r>
        <w:rPr>
          <w:rFonts w:ascii="仿宋" w:eastAsia="仿宋" w:hAnsi="仿宋" w:cs="仿宋" w:hint="eastAsia"/>
          <w:sz w:val="32"/>
          <w:szCs w:val="32"/>
          <w:lang w:val="zh-CN"/>
        </w:rPr>
        <w:t>负责统计数据质量监测和核查；负责对县级调查队开展相关业务指导；开展统计执法相关工作；参与大型国情国力调查等重大统计工作；协助</w:t>
      </w:r>
      <w:r>
        <w:rPr>
          <w:rFonts w:ascii="仿宋" w:eastAsia="仿宋" w:hAnsi="仿宋" w:cs="仿宋" w:hint="eastAsia"/>
          <w:sz w:val="32"/>
          <w:szCs w:val="32"/>
        </w:rPr>
        <w:t>咸宁</w:t>
      </w:r>
      <w:r>
        <w:rPr>
          <w:rFonts w:ascii="仿宋" w:eastAsia="仿宋" w:hAnsi="仿宋" w:cs="仿宋" w:hint="eastAsia"/>
          <w:sz w:val="32"/>
          <w:szCs w:val="32"/>
          <w:lang w:val="zh-CN"/>
        </w:rPr>
        <w:t>市统计局开展相关工作；完成省统计局、省统计局调查监测中心交办的其他工作。</w:t>
      </w:r>
    </w:p>
    <w:p w:rsidR="000E7795" w:rsidRDefault="00D537A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0E7795" w:rsidRDefault="00D537AC">
      <w:pPr>
        <w:widowControl/>
        <w:spacing w:line="520" w:lineRule="exact"/>
        <w:ind w:firstLine="480"/>
        <w:rPr>
          <w:rFonts w:ascii="楷体" w:eastAsia="楷体" w:hAnsi="楷体" w:cs="Helvetica"/>
          <w:b/>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仿宋" w:eastAsia="仿宋" w:hAnsi="仿宋" w:cs="仿宋_GB2312" w:hint="eastAsia"/>
          <w:bCs/>
          <w:kern w:val="0"/>
          <w:sz w:val="32"/>
          <w:szCs w:val="32"/>
        </w:rPr>
        <w:t>2024年预算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为267.15万元，比上年增加23.32万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增加9.6</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w:t>
      </w:r>
      <w:r>
        <w:rPr>
          <w:rFonts w:ascii="仿宋" w:eastAsia="仿宋" w:hAnsi="仿宋" w:cs="仿宋_GB2312"/>
          <w:bCs/>
          <w:kern w:val="0"/>
          <w:sz w:val="32"/>
          <w:szCs w:val="32"/>
        </w:rPr>
        <w:t>是：</w:t>
      </w:r>
      <w:r>
        <w:rPr>
          <w:rFonts w:ascii="仿宋_GB2312" w:eastAsia="仿宋_GB2312" w:hint="eastAsia"/>
          <w:sz w:val="32"/>
        </w:rPr>
        <w:t>2024年拟新增人员2名。其中</w:t>
      </w:r>
      <w:r>
        <w:rPr>
          <w:rFonts w:ascii="仿宋_GB2312" w:eastAsia="仿宋_GB2312"/>
          <w:sz w:val="32"/>
        </w:rPr>
        <w:t>：一般公共预算拨款</w:t>
      </w:r>
      <w:r>
        <w:rPr>
          <w:rFonts w:ascii="仿宋_GB2312" w:eastAsia="仿宋_GB2312" w:hint="eastAsia"/>
          <w:sz w:val="32"/>
        </w:rPr>
        <w:t>收入267.15</w:t>
      </w:r>
      <w:r>
        <w:rPr>
          <w:rFonts w:ascii="仿宋_GB2312" w:eastAsia="仿宋_GB2312"/>
          <w:sz w:val="32"/>
        </w:rPr>
        <w:t>万元，</w:t>
      </w:r>
      <w:r>
        <w:rPr>
          <w:rFonts w:ascii="仿宋" w:eastAsia="仿宋" w:hAnsi="仿宋" w:cs="仿宋_GB2312" w:hint="eastAsia"/>
          <w:bCs/>
          <w:kern w:val="0"/>
          <w:sz w:val="32"/>
          <w:szCs w:val="32"/>
        </w:rPr>
        <w:t>比上年增加23.32万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增加9.6</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0E7795" w:rsidRDefault="00D537AC">
      <w:pPr>
        <w:widowControl/>
        <w:spacing w:line="520" w:lineRule="exact"/>
        <w:ind w:firstLine="480"/>
        <w:rPr>
          <w:rFonts w:ascii="仿宋" w:eastAsia="仿宋" w:hAnsi="仿宋" w:cs="仿宋_GB2312"/>
          <w:bCs/>
          <w:kern w:val="0"/>
          <w:sz w:val="32"/>
          <w:szCs w:val="32"/>
        </w:rPr>
      </w:pPr>
      <w:r>
        <w:rPr>
          <w:rFonts w:ascii="楷体" w:eastAsia="楷体" w:hAnsi="楷体" w:cs="Helvetica" w:hint="eastAsia"/>
          <w:b/>
          <w:bCs/>
          <w:kern w:val="0"/>
          <w:sz w:val="32"/>
          <w:szCs w:val="32"/>
        </w:rPr>
        <w:lastRenderedPageBreak/>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2024年预算支出267.15万元, 比上年增加23.32万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增加9.6</w:t>
      </w:r>
      <w:r>
        <w:rPr>
          <w:rFonts w:ascii="仿宋" w:eastAsia="仿宋" w:hAnsi="仿宋" w:cs="仿宋_GB2312"/>
          <w:bCs/>
          <w:kern w:val="0"/>
          <w:sz w:val="32"/>
          <w:szCs w:val="32"/>
        </w:rPr>
        <w:t>%</w:t>
      </w:r>
      <w:r>
        <w:rPr>
          <w:rFonts w:ascii="仿宋" w:eastAsia="仿宋" w:hAnsi="仿宋" w:cs="仿宋_GB2312" w:hint="eastAsia"/>
          <w:bCs/>
          <w:kern w:val="0"/>
          <w:sz w:val="32"/>
          <w:szCs w:val="32"/>
        </w:rPr>
        <w:t>。其中：一般公共服务支出207.69万元，比上年增加12.02万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增加6.1</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；社会保障和就业支出43.34万元，比上年增加11.79万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增加37.4</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；住房保障支出16.12万元，比上年减少0.46万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减少2.8</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0E7795" w:rsidRDefault="00D537AC">
      <w:pPr>
        <w:widowControl/>
        <w:spacing w:line="520" w:lineRule="exact"/>
        <w:ind w:firstLine="480"/>
        <w:rPr>
          <w:rFonts w:ascii="仿宋_GB2312" w:eastAsia="仿宋_GB2312"/>
          <w:sz w:val="32"/>
        </w:rPr>
      </w:pPr>
      <w:r>
        <w:rPr>
          <w:rFonts w:ascii="仿宋_GB2312" w:eastAsia="仿宋_GB2312" w:hint="eastAsia"/>
          <w:sz w:val="32"/>
        </w:rPr>
        <w:t>支出增加</w:t>
      </w:r>
      <w:r w:rsidR="006106E6">
        <w:rPr>
          <w:rFonts w:ascii="仿宋" w:eastAsia="仿宋" w:hAnsi="仿宋" w:cs="仿宋_GB2312" w:hint="eastAsia"/>
          <w:bCs/>
          <w:kern w:val="0"/>
          <w:sz w:val="32"/>
          <w:szCs w:val="32"/>
        </w:rPr>
        <w:t>和</w:t>
      </w:r>
      <w:r>
        <w:rPr>
          <w:rFonts w:ascii="仿宋" w:eastAsia="仿宋" w:hAnsi="仿宋" w:cs="仿宋_GB2312" w:hint="eastAsia"/>
          <w:bCs/>
          <w:kern w:val="0"/>
          <w:sz w:val="32"/>
          <w:szCs w:val="32"/>
        </w:rPr>
        <w:t>减少</w:t>
      </w:r>
      <w:r>
        <w:rPr>
          <w:rFonts w:ascii="仿宋_GB2312" w:eastAsia="仿宋_GB2312" w:hint="eastAsia"/>
          <w:sz w:val="32"/>
        </w:rPr>
        <w:t>原因：</w:t>
      </w:r>
    </w:p>
    <w:p w:rsidR="000E7795" w:rsidRDefault="00D537AC">
      <w:pPr>
        <w:widowControl/>
        <w:spacing w:line="520" w:lineRule="exact"/>
        <w:ind w:firstLine="480"/>
        <w:rPr>
          <w:rFonts w:ascii="仿宋_GB2312" w:eastAsia="仿宋_GB2312"/>
          <w:sz w:val="32"/>
        </w:rPr>
      </w:pPr>
      <w:r>
        <w:rPr>
          <w:rFonts w:ascii="仿宋_GB2312" w:eastAsia="仿宋_GB2312" w:hint="eastAsia"/>
          <w:sz w:val="32"/>
        </w:rPr>
        <w:t>（1）2024年基本支出247.15万元</w:t>
      </w:r>
      <w:r>
        <w:rPr>
          <w:rFonts w:ascii="仿宋_GB2312" w:eastAsia="仿宋_GB2312"/>
          <w:sz w:val="32"/>
        </w:rPr>
        <w:t>，</w:t>
      </w:r>
      <w:r>
        <w:rPr>
          <w:rFonts w:ascii="仿宋_GB2312" w:eastAsia="仿宋_GB2312" w:hint="eastAsia"/>
          <w:sz w:val="32"/>
        </w:rPr>
        <w:t>比上年增加</w:t>
      </w:r>
      <w:r>
        <w:rPr>
          <w:rFonts w:ascii="仿宋" w:eastAsia="仿宋" w:hAnsi="仿宋" w:cs="仿宋_GB2312" w:hint="eastAsia"/>
          <w:bCs/>
          <w:kern w:val="0"/>
          <w:sz w:val="32"/>
          <w:szCs w:val="32"/>
        </w:rPr>
        <w:t>26.32</w:t>
      </w:r>
      <w:r>
        <w:rPr>
          <w:rFonts w:ascii="仿宋_GB2312" w:eastAsia="仿宋_GB2312" w:hint="eastAsia"/>
          <w:sz w:val="32"/>
        </w:rPr>
        <w:t>万元，</w:t>
      </w:r>
      <w:r>
        <w:rPr>
          <w:rFonts w:ascii="仿宋" w:eastAsia="仿宋" w:hAnsi="仿宋" w:cs="仿宋_GB2312" w:hint="eastAsia"/>
          <w:bCs/>
          <w:kern w:val="0"/>
          <w:sz w:val="32"/>
          <w:szCs w:val="32"/>
        </w:rPr>
        <w:t>增加11.9</w:t>
      </w:r>
      <w:r>
        <w:rPr>
          <w:rFonts w:ascii="仿宋" w:eastAsia="仿宋" w:hAnsi="仿宋" w:cs="仿宋_GB2312"/>
          <w:bCs/>
          <w:kern w:val="0"/>
          <w:sz w:val="32"/>
          <w:szCs w:val="32"/>
        </w:rPr>
        <w:t>%,</w:t>
      </w:r>
      <w:r>
        <w:rPr>
          <w:rFonts w:ascii="仿宋_GB2312" w:eastAsia="仿宋_GB2312" w:hint="eastAsia"/>
          <w:sz w:val="32"/>
        </w:rPr>
        <w:t>主要原因：2024年拟新增人员2名。</w:t>
      </w:r>
    </w:p>
    <w:p w:rsidR="000E7795" w:rsidRDefault="00D537AC">
      <w:pPr>
        <w:widowControl/>
        <w:spacing w:line="520" w:lineRule="exact"/>
        <w:ind w:firstLine="480"/>
        <w:rPr>
          <w:rFonts w:ascii="仿宋_GB2312" w:eastAsia="仿宋_GB2312"/>
          <w:sz w:val="32"/>
        </w:rPr>
      </w:pPr>
      <w:r>
        <w:rPr>
          <w:rFonts w:ascii="仿宋_GB2312" w:eastAsia="仿宋_GB2312" w:hint="eastAsia"/>
          <w:sz w:val="32"/>
        </w:rPr>
        <w:t>（2）2024年项目支出20万元</w:t>
      </w:r>
      <w:r>
        <w:rPr>
          <w:rFonts w:ascii="仿宋_GB2312" w:eastAsia="仿宋_GB2312"/>
          <w:sz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hint="eastAsia"/>
          <w:bCs/>
          <w:sz w:val="32"/>
          <w:szCs w:val="32"/>
        </w:rPr>
        <w:t>3</w:t>
      </w:r>
      <w:r>
        <w:rPr>
          <w:rFonts w:ascii="仿宋_GB2312" w:eastAsia="仿宋_GB2312" w:hint="eastAsia"/>
          <w:sz w:val="32"/>
        </w:rPr>
        <w:t>万元，</w:t>
      </w:r>
      <w:r>
        <w:rPr>
          <w:rFonts w:ascii="仿宋" w:eastAsia="仿宋" w:hAnsi="仿宋" w:cs="仿宋_GB2312" w:hint="eastAsia"/>
          <w:bCs/>
          <w:kern w:val="0"/>
          <w:sz w:val="32"/>
          <w:szCs w:val="32"/>
        </w:rPr>
        <w:t>减少13</w:t>
      </w:r>
      <w:r>
        <w:rPr>
          <w:rFonts w:ascii="仿宋" w:eastAsia="仿宋" w:hAnsi="仿宋" w:cs="仿宋_GB2312"/>
          <w:bCs/>
          <w:kern w:val="0"/>
          <w:sz w:val="32"/>
          <w:szCs w:val="32"/>
        </w:rPr>
        <w:t>%,</w:t>
      </w:r>
      <w:r>
        <w:rPr>
          <w:rFonts w:ascii="仿宋_GB2312" w:eastAsia="仿宋_GB2312" w:hint="eastAsia"/>
          <w:sz w:val="32"/>
        </w:rPr>
        <w:t>主要原因：压减非刚性支出。</w:t>
      </w:r>
    </w:p>
    <w:p w:rsidR="000E7795" w:rsidRDefault="00D537AC">
      <w:pPr>
        <w:widowControl/>
        <w:spacing w:line="520" w:lineRule="exact"/>
        <w:ind w:firstLine="480"/>
        <w:rPr>
          <w:rFonts w:ascii="黑体" w:eastAsia="黑体" w:hAnsi="黑体" w:cs="Helvetica"/>
          <w:b/>
          <w:bCs/>
          <w:kern w:val="0"/>
          <w:sz w:val="32"/>
          <w:szCs w:val="32"/>
        </w:rPr>
      </w:pP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四、机关运行经费安排情况</w:t>
      </w:r>
    </w:p>
    <w:p w:rsidR="000E7795" w:rsidRDefault="00D537AC">
      <w:pPr>
        <w:widowControl/>
        <w:spacing w:line="520" w:lineRule="exact"/>
        <w:ind w:firstLineChars="200" w:firstLine="640"/>
      </w:pPr>
      <w:r>
        <w:rPr>
          <w:rFonts w:ascii="仿宋" w:eastAsia="仿宋" w:hAnsi="仿宋" w:cs="Helvetica" w:hint="eastAsia"/>
          <w:bCs/>
          <w:kern w:val="0"/>
          <w:sz w:val="32"/>
          <w:szCs w:val="32"/>
        </w:rPr>
        <w:t>2024年机关运行经费30.6万元，</w:t>
      </w:r>
      <w:r>
        <w:rPr>
          <w:rFonts w:ascii="仿宋_GB2312" w:eastAsia="仿宋_GB2312" w:hint="eastAsia"/>
          <w:sz w:val="32"/>
        </w:rPr>
        <w:t>较上年相比</w:t>
      </w:r>
      <w:r>
        <w:rPr>
          <w:rFonts w:ascii="仿宋" w:eastAsia="仿宋" w:hAnsi="仿宋" w:cs="仿宋_GB2312" w:hint="eastAsia"/>
          <w:bCs/>
          <w:kern w:val="0"/>
          <w:sz w:val="32"/>
          <w:szCs w:val="32"/>
        </w:rPr>
        <w:t>减少</w:t>
      </w:r>
      <w:r>
        <w:rPr>
          <w:rFonts w:ascii="仿宋" w:eastAsia="仿宋" w:hAnsi="仿宋" w:cs="仿宋_GB2312" w:hint="eastAsia"/>
          <w:bCs/>
          <w:sz w:val="32"/>
          <w:szCs w:val="32"/>
        </w:rPr>
        <w:t>3.39</w:t>
      </w:r>
      <w:r>
        <w:rPr>
          <w:rFonts w:ascii="仿宋_GB2312" w:eastAsia="仿宋_GB2312" w:hint="eastAsia"/>
          <w:sz w:val="32"/>
        </w:rPr>
        <w:t>万元，</w:t>
      </w:r>
      <w:r>
        <w:rPr>
          <w:rFonts w:ascii="仿宋" w:eastAsia="仿宋" w:hAnsi="仿宋" w:cs="仿宋_GB2312" w:hint="eastAsia"/>
          <w:bCs/>
          <w:kern w:val="0"/>
          <w:sz w:val="32"/>
          <w:szCs w:val="32"/>
        </w:rPr>
        <w:t>减少10</w:t>
      </w:r>
      <w:r>
        <w:rPr>
          <w:rFonts w:ascii="仿宋" w:eastAsia="仿宋" w:hAnsi="仿宋" w:cs="仿宋_GB2312"/>
          <w:bCs/>
          <w:kern w:val="0"/>
          <w:sz w:val="32"/>
          <w:szCs w:val="32"/>
        </w:rPr>
        <w:t>%,</w:t>
      </w:r>
      <w:r>
        <w:rPr>
          <w:rFonts w:ascii="仿宋" w:eastAsia="仿宋" w:hAnsi="仿宋" w:cs="仿宋_GB2312" w:hint="eastAsia"/>
          <w:bCs/>
          <w:kern w:val="0"/>
          <w:sz w:val="32"/>
          <w:szCs w:val="32"/>
        </w:rPr>
        <w:t xml:space="preserve"> 减少主要</w:t>
      </w:r>
      <w:r>
        <w:rPr>
          <w:rFonts w:ascii="仿宋" w:eastAsia="仿宋" w:hAnsi="仿宋" w:cs="仿宋_GB2312"/>
          <w:bCs/>
          <w:kern w:val="0"/>
          <w:sz w:val="32"/>
          <w:szCs w:val="32"/>
        </w:rPr>
        <w:t>原因是：</w:t>
      </w:r>
      <w:r>
        <w:rPr>
          <w:rFonts w:ascii="仿宋_GB2312" w:eastAsia="仿宋_GB2312" w:hint="eastAsia"/>
          <w:sz w:val="32"/>
        </w:rPr>
        <w:t>压减非刚性支出</w:t>
      </w:r>
      <w:r>
        <w:rPr>
          <w:rFonts w:ascii="仿宋" w:eastAsia="仿宋" w:hAnsi="仿宋" w:cs="Arial"/>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：办公费1万元，电费4.2万元，邮电费1.96万元，物业管理费2.08万元，差旅费0.235万元，工会经费3.67万元，福利费2.19万元，公务接待费0.4万元，</w:t>
      </w:r>
      <w:r>
        <w:rPr>
          <w:rFonts w:ascii="仿宋" w:eastAsia="仿宋" w:hAnsi="仿宋" w:cs="Helvetica"/>
          <w:bCs/>
          <w:kern w:val="0"/>
          <w:sz w:val="32"/>
          <w:szCs w:val="32"/>
        </w:rPr>
        <w:t>其他交通费</w:t>
      </w:r>
      <w:r>
        <w:rPr>
          <w:rFonts w:ascii="仿宋" w:eastAsia="仿宋" w:hAnsi="仿宋" w:cs="Helvetica" w:hint="eastAsia"/>
          <w:bCs/>
          <w:kern w:val="0"/>
          <w:sz w:val="32"/>
          <w:szCs w:val="32"/>
        </w:rPr>
        <w:t>用6.965万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其他商品和服务支出7.9万元。</w:t>
      </w:r>
    </w:p>
    <w:p w:rsidR="000E7795" w:rsidRDefault="00D537AC">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0E7795" w:rsidRDefault="00D537AC">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预算0.4万</w:t>
      </w:r>
      <w:r>
        <w:rPr>
          <w:rFonts w:ascii="仿宋" w:eastAsia="仿宋" w:hAnsi="仿宋" w:cs="Helvetica"/>
          <w:bCs/>
          <w:kern w:val="0"/>
          <w:sz w:val="32"/>
          <w:szCs w:val="32"/>
        </w:rPr>
        <w:t>元</w:t>
      </w:r>
      <w:r>
        <w:rPr>
          <w:rFonts w:ascii="仿宋" w:eastAsia="仿宋" w:hAnsi="仿宋" w:cs="Helvetica" w:hint="eastAsia"/>
          <w:bCs/>
          <w:kern w:val="0"/>
          <w:sz w:val="32"/>
          <w:szCs w:val="32"/>
        </w:rPr>
        <w:t>，与上年持平</w:t>
      </w:r>
      <w:r>
        <w:rPr>
          <w:rFonts w:ascii="仿宋" w:eastAsia="仿宋" w:hAnsi="仿宋" w:cs="仿宋_GB2312" w:hint="eastAsia"/>
          <w:bCs/>
          <w:kern w:val="0"/>
          <w:sz w:val="32"/>
          <w:szCs w:val="32"/>
        </w:rPr>
        <w:t>。</w:t>
      </w:r>
      <w:r>
        <w:rPr>
          <w:rFonts w:ascii="仿宋" w:eastAsia="仿宋" w:hAnsi="仿宋" w:cs="Helvetica"/>
          <w:bCs/>
          <w:kern w:val="0"/>
          <w:sz w:val="32"/>
          <w:szCs w:val="32"/>
        </w:rPr>
        <w:t>其中：</w:t>
      </w:r>
    </w:p>
    <w:p w:rsidR="000E7795" w:rsidRDefault="00D537AC">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1.因公出国（境）费0万元，</w:t>
      </w:r>
      <w:r>
        <w:rPr>
          <w:rFonts w:ascii="仿宋" w:eastAsia="仿宋" w:hAnsi="仿宋" w:cs="Helvetica" w:hint="eastAsia"/>
          <w:bCs/>
          <w:kern w:val="0"/>
          <w:sz w:val="32"/>
          <w:szCs w:val="32"/>
        </w:rPr>
        <w:t>与上年持平</w:t>
      </w:r>
      <w:r>
        <w:rPr>
          <w:rFonts w:ascii="仿宋_GB2312" w:eastAsia="仿宋_GB2312" w:hint="eastAsia"/>
          <w:sz w:val="32"/>
        </w:rPr>
        <w:t>，主要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0E7795" w:rsidRDefault="00D537AC">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2.公务接待费0.4万元</w:t>
      </w:r>
      <w:r>
        <w:rPr>
          <w:rFonts w:ascii="仿宋" w:eastAsia="仿宋" w:hAnsi="仿宋" w:cs="Arial"/>
          <w:sz w:val="32"/>
          <w:szCs w:val="32"/>
        </w:rPr>
        <w:t>，</w:t>
      </w:r>
      <w:r>
        <w:rPr>
          <w:rFonts w:ascii="仿宋" w:eastAsia="仿宋" w:hAnsi="仿宋" w:cs="Helvetica" w:hint="eastAsia"/>
          <w:bCs/>
          <w:kern w:val="0"/>
          <w:sz w:val="32"/>
          <w:szCs w:val="32"/>
        </w:rPr>
        <w:t>与上年持平</w:t>
      </w:r>
      <w:r>
        <w:rPr>
          <w:rFonts w:ascii="仿宋" w:eastAsia="仿宋" w:hAnsi="仿宋" w:cs="Arial" w:hint="eastAsia"/>
          <w:sz w:val="32"/>
          <w:szCs w:val="32"/>
        </w:rPr>
        <w:t>，</w:t>
      </w:r>
      <w:r>
        <w:rPr>
          <w:rFonts w:ascii="仿宋" w:eastAsia="仿宋" w:hAnsi="仿宋" w:cs="仿宋_GB2312" w:hint="eastAsia"/>
          <w:bCs/>
          <w:kern w:val="0"/>
          <w:sz w:val="32"/>
          <w:szCs w:val="32"/>
        </w:rPr>
        <w:t>主要原因是：落实过紧日子要求，保障正常公务接待</w:t>
      </w:r>
      <w:r>
        <w:rPr>
          <w:rFonts w:ascii="仿宋" w:eastAsia="仿宋" w:hAnsi="仿宋" w:cs="Arial"/>
          <w:sz w:val="32"/>
          <w:szCs w:val="32"/>
        </w:rPr>
        <w:t>。</w:t>
      </w:r>
    </w:p>
    <w:p w:rsidR="000E7795" w:rsidRDefault="00D537AC">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3.公务用车购置及运行维护费0万元，与上年持平，其中</w:t>
      </w:r>
      <w:r>
        <w:rPr>
          <w:rFonts w:ascii="仿宋" w:eastAsia="仿宋" w:hAnsi="仿宋" w:cs="Arial"/>
          <w:sz w:val="32"/>
          <w:szCs w:val="32"/>
        </w:rPr>
        <w:t>：</w:t>
      </w:r>
      <w:r>
        <w:rPr>
          <w:rFonts w:ascii="仿宋" w:eastAsia="仿宋" w:hAnsi="仿宋" w:cs="Arial" w:hint="eastAsia"/>
          <w:sz w:val="32"/>
          <w:szCs w:val="32"/>
        </w:rPr>
        <w:t>公务用车购置0万元，与上年持平，主要原因是：</w:t>
      </w:r>
      <w:r>
        <w:rPr>
          <w:rFonts w:ascii="仿宋" w:eastAsia="仿宋" w:hAnsi="仿宋" w:cs="Arial" w:hint="eastAsia"/>
          <w:sz w:val="32"/>
          <w:szCs w:val="32"/>
        </w:rPr>
        <w:lastRenderedPageBreak/>
        <w:t>公务用车购置由市局机关统一安排，我单位无此项经费预算。公务用车运行维护费</w:t>
      </w:r>
      <w:r>
        <w:rPr>
          <w:rFonts w:ascii="仿宋" w:eastAsia="仿宋" w:hAnsi="仿宋" w:cs="Arial"/>
          <w:sz w:val="32"/>
          <w:szCs w:val="32"/>
        </w:rPr>
        <w:t>0</w:t>
      </w:r>
      <w:r>
        <w:rPr>
          <w:rFonts w:ascii="仿宋" w:eastAsia="仿宋" w:hAnsi="仿宋" w:cs="Arial" w:hint="eastAsia"/>
          <w:sz w:val="32"/>
          <w:szCs w:val="32"/>
        </w:rPr>
        <w:t>万元, 与上年持平，主要</w:t>
      </w:r>
      <w:r>
        <w:rPr>
          <w:rFonts w:ascii="仿宋" w:eastAsia="仿宋" w:hAnsi="仿宋" w:cs="Arial"/>
          <w:sz w:val="32"/>
          <w:szCs w:val="32"/>
        </w:rPr>
        <w:t>原因是：</w:t>
      </w:r>
      <w:r>
        <w:rPr>
          <w:rFonts w:ascii="仿宋" w:eastAsia="仿宋" w:hAnsi="仿宋" w:cs="Arial" w:hint="eastAsia"/>
          <w:sz w:val="32"/>
          <w:szCs w:val="32"/>
        </w:rPr>
        <w:t>公务用车运行由市局机关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0E7795" w:rsidRDefault="00D537AC">
      <w:pPr>
        <w:widowControl/>
        <w:spacing w:line="520" w:lineRule="exact"/>
        <w:ind w:firstLine="480"/>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六、政府采购预算安排情况</w:t>
      </w:r>
    </w:p>
    <w:p w:rsidR="000E7795" w:rsidRDefault="00D537AC">
      <w:pPr>
        <w:widowControl/>
        <w:spacing w:line="520" w:lineRule="exact"/>
        <w:ind w:firstLineChars="200" w:firstLine="640"/>
        <w:rPr>
          <w:rFonts w:ascii="仿宋" w:eastAsia="仿宋" w:hAnsi="仿宋" w:cs="仿宋"/>
          <w:sz w:val="32"/>
          <w:szCs w:val="32"/>
        </w:rPr>
      </w:pPr>
      <w:r>
        <w:rPr>
          <w:rFonts w:ascii="仿宋" w:eastAsia="仿宋" w:hAnsi="仿宋" w:cs="Helvetica" w:hint="eastAsia"/>
          <w:bCs/>
          <w:kern w:val="0"/>
          <w:sz w:val="32"/>
          <w:szCs w:val="32"/>
        </w:rPr>
        <w:t>2024年</w:t>
      </w:r>
      <w:r>
        <w:rPr>
          <w:rFonts w:ascii="仿宋" w:eastAsia="仿宋" w:hAnsi="仿宋" w:cs="仿宋" w:hint="eastAsia"/>
          <w:sz w:val="32"/>
          <w:szCs w:val="32"/>
        </w:rPr>
        <w:t>我单位编制政府采购预算0万元，</w:t>
      </w:r>
      <w:r>
        <w:rPr>
          <w:rFonts w:ascii="仿宋" w:eastAsia="仿宋" w:hAnsi="仿宋" w:cs="Helvetica" w:hint="eastAsia"/>
          <w:bCs/>
          <w:kern w:val="0"/>
          <w:sz w:val="32"/>
          <w:szCs w:val="32"/>
        </w:rPr>
        <w:t>与上年持平</w:t>
      </w:r>
      <w:r>
        <w:rPr>
          <w:rFonts w:ascii="仿宋" w:eastAsia="仿宋" w:hAnsi="仿宋" w:cs="仿宋" w:hint="eastAsia"/>
          <w:sz w:val="32"/>
          <w:szCs w:val="32"/>
        </w:rPr>
        <w:t>，主要原因：我单位未单独安排政府采购预算。其中：货物类政府采购预算0万元，主要用于无；工程类政府采购预算0万元，主要用于无；服务类政府采购预算0万元，主要用于无。</w:t>
      </w:r>
    </w:p>
    <w:p w:rsidR="000E7795" w:rsidRDefault="00D537AC">
      <w:pPr>
        <w:widowControl/>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2024年面向中小企业采购预算0万元，其中面向小微企业采购预算0万元。</w:t>
      </w:r>
    </w:p>
    <w:p w:rsidR="000E7795" w:rsidRDefault="00D537AC">
      <w:pPr>
        <w:widowControl/>
        <w:spacing w:line="520" w:lineRule="exact"/>
        <w:rPr>
          <w:rFonts w:ascii="黑体" w:eastAsia="黑体" w:hAnsi="黑体" w:cs="Helvetica"/>
          <w:b/>
          <w:bCs/>
          <w:kern w:val="0"/>
          <w:sz w:val="32"/>
          <w:szCs w:val="32"/>
        </w:rPr>
      </w:pPr>
      <w:r>
        <w:rPr>
          <w:rFonts w:ascii="仿宋" w:eastAsia="仿宋" w:hAnsi="仿宋" w:cs="Helvetica" w:hint="eastAsia"/>
          <w:bCs/>
          <w:kern w:val="0"/>
          <w:sz w:val="32"/>
          <w:szCs w:val="32"/>
        </w:rPr>
        <w:t xml:space="preserve">　</w:t>
      </w: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七、国有资产占用情况</w:t>
      </w:r>
    </w:p>
    <w:p w:rsidR="000E7795" w:rsidRDefault="00D537AC">
      <w:pPr>
        <w:widowControl/>
        <w:spacing w:line="520" w:lineRule="exact"/>
        <w:ind w:firstLine="480"/>
        <w:rPr>
          <w:rFonts w:ascii="仿宋" w:eastAsia="仿宋" w:hAnsi="仿宋" w:cs="Helvetica"/>
          <w:bCs/>
          <w:kern w:val="0"/>
          <w:sz w:val="32"/>
          <w:szCs w:val="32"/>
        </w:rPr>
      </w:pPr>
      <w:r>
        <w:rPr>
          <w:rFonts w:ascii="仿宋" w:eastAsia="仿宋" w:hAnsi="仿宋" w:cs="Helvetica" w:hint="eastAsia"/>
          <w:bCs/>
          <w:kern w:val="0"/>
          <w:sz w:val="32"/>
          <w:szCs w:val="32"/>
        </w:rPr>
        <w:t>截至2024年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米，其中：办公用房建筑面积0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米，其他0</w:t>
      </w:r>
      <w:r>
        <w:rPr>
          <w:rFonts w:ascii="仿宋" w:eastAsia="仿宋" w:hAnsi="仿宋" w:cs="Helvetica" w:hint="eastAsia"/>
          <w:bCs/>
          <w:kern w:val="0"/>
          <w:sz w:val="32"/>
          <w:szCs w:val="32"/>
        </w:rPr>
        <w:t>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省级干部及以上领导干部用车0</w:t>
      </w:r>
      <w:r>
        <w:rPr>
          <w:rFonts w:ascii="仿宋" w:eastAsia="仿宋" w:hAnsi="仿宋" w:cs="Helvetica" w:hint="eastAsia"/>
          <w:bCs/>
          <w:kern w:val="0"/>
          <w:sz w:val="32"/>
          <w:szCs w:val="32"/>
        </w:rPr>
        <w:t>辆、机要</w:t>
      </w:r>
      <w:r>
        <w:rPr>
          <w:rFonts w:ascii="仿宋" w:eastAsia="仿宋" w:hAnsi="仿宋" w:cs="Helvetica"/>
          <w:bCs/>
          <w:kern w:val="0"/>
          <w:sz w:val="32"/>
          <w:szCs w:val="32"/>
        </w:rPr>
        <w:t>通信用车0</w:t>
      </w:r>
      <w:r>
        <w:rPr>
          <w:rFonts w:ascii="仿宋" w:eastAsia="仿宋" w:hAnsi="仿宋" w:cs="Helvetica" w:hint="eastAsia"/>
          <w:bCs/>
          <w:kern w:val="0"/>
          <w:sz w:val="32"/>
          <w:szCs w:val="32"/>
        </w:rPr>
        <w:t>辆、应急</w:t>
      </w:r>
      <w:r>
        <w:rPr>
          <w:rFonts w:ascii="仿宋" w:eastAsia="仿宋" w:hAnsi="仿宋" w:cs="Helvetica"/>
          <w:bCs/>
          <w:kern w:val="0"/>
          <w:sz w:val="32"/>
          <w:szCs w:val="32"/>
        </w:rPr>
        <w:t>保障用车0</w:t>
      </w:r>
      <w:r>
        <w:rPr>
          <w:rFonts w:ascii="仿宋" w:eastAsia="仿宋" w:hAnsi="仿宋" w:cs="Helvetica" w:hint="eastAsia"/>
          <w:bCs/>
          <w:kern w:val="0"/>
          <w:sz w:val="32"/>
          <w:szCs w:val="32"/>
        </w:rPr>
        <w:t>辆、</w:t>
      </w:r>
      <w:r>
        <w:rPr>
          <w:rFonts w:ascii="仿宋" w:eastAsia="仿宋" w:hAnsi="仿宋" w:cs="Helvetica"/>
          <w:bCs/>
          <w:kern w:val="0"/>
          <w:sz w:val="32"/>
          <w:szCs w:val="32"/>
        </w:rPr>
        <w:t>执法</w:t>
      </w:r>
      <w:r>
        <w:rPr>
          <w:rFonts w:ascii="仿宋" w:eastAsia="仿宋" w:hAnsi="仿宋" w:cs="Helvetica" w:hint="eastAsia"/>
          <w:bCs/>
          <w:kern w:val="0"/>
          <w:sz w:val="32"/>
          <w:szCs w:val="32"/>
        </w:rPr>
        <w:t>执</w:t>
      </w:r>
      <w:r>
        <w:rPr>
          <w:rFonts w:ascii="仿宋" w:eastAsia="仿宋" w:hAnsi="仿宋" w:cs="Helvetica"/>
          <w:bCs/>
          <w:kern w:val="0"/>
          <w:sz w:val="32"/>
          <w:szCs w:val="32"/>
        </w:rPr>
        <w:t>勤用车0</w:t>
      </w:r>
      <w:r>
        <w:rPr>
          <w:rFonts w:ascii="仿宋" w:eastAsia="仿宋" w:hAnsi="仿宋" w:cs="Helvetica" w:hint="eastAsia"/>
          <w:bCs/>
          <w:kern w:val="0"/>
          <w:sz w:val="32"/>
          <w:szCs w:val="32"/>
        </w:rPr>
        <w:t>辆、</w:t>
      </w:r>
      <w:r>
        <w:rPr>
          <w:rFonts w:ascii="仿宋" w:eastAsia="仿宋" w:hAnsi="仿宋" w:cs="Helvetica"/>
          <w:bCs/>
          <w:kern w:val="0"/>
          <w:sz w:val="32"/>
          <w:szCs w:val="32"/>
        </w:rPr>
        <w:t>特种专业技术用车0</w:t>
      </w:r>
      <w:r>
        <w:rPr>
          <w:rFonts w:ascii="仿宋" w:eastAsia="仿宋" w:hAnsi="仿宋" w:cs="Helvetica" w:hint="eastAsia"/>
          <w:bCs/>
          <w:kern w:val="0"/>
          <w:sz w:val="32"/>
          <w:szCs w:val="32"/>
        </w:rPr>
        <w:t>辆、</w:t>
      </w:r>
      <w:r>
        <w:rPr>
          <w:rFonts w:ascii="仿宋" w:eastAsia="仿宋" w:hAnsi="仿宋" w:cs="Helvetica"/>
          <w:bCs/>
          <w:kern w:val="0"/>
          <w:sz w:val="32"/>
          <w:szCs w:val="32"/>
        </w:rPr>
        <w:t>其他用车0</w:t>
      </w:r>
      <w:r>
        <w:rPr>
          <w:rFonts w:ascii="仿宋" w:eastAsia="仿宋" w:hAnsi="仿宋" w:cs="Helvetica" w:hint="eastAsia"/>
          <w:bCs/>
          <w:kern w:val="0"/>
          <w:sz w:val="32"/>
          <w:szCs w:val="32"/>
        </w:rPr>
        <w:t>辆</w:t>
      </w:r>
      <w:r>
        <w:rPr>
          <w:rFonts w:ascii="仿宋" w:eastAsia="仿宋" w:hAnsi="仿宋" w:cs="Helvetica"/>
          <w:bCs/>
          <w:kern w:val="0"/>
          <w:sz w:val="32"/>
          <w:szCs w:val="32"/>
        </w:rPr>
        <w:t>，</w:t>
      </w:r>
      <w:r>
        <w:rPr>
          <w:rFonts w:ascii="仿宋" w:eastAsia="仿宋" w:hAnsi="仿宋" w:cs="Helvetica" w:hint="eastAsia"/>
          <w:bCs/>
          <w:kern w:val="0"/>
          <w:sz w:val="32"/>
          <w:szCs w:val="32"/>
        </w:rPr>
        <w:t>其他</w:t>
      </w:r>
      <w:r>
        <w:rPr>
          <w:rFonts w:ascii="仿宋" w:eastAsia="仿宋" w:hAnsi="仿宋" w:cs="Helvetica"/>
          <w:bCs/>
          <w:kern w:val="0"/>
          <w:sz w:val="32"/>
          <w:szCs w:val="32"/>
        </w:rPr>
        <w:t>用车</w:t>
      </w:r>
      <w:r>
        <w:rPr>
          <w:rFonts w:ascii="仿宋" w:eastAsia="仿宋" w:hAnsi="仿宋" w:cs="Helvetica" w:hint="eastAsia"/>
          <w:bCs/>
          <w:kern w:val="0"/>
          <w:sz w:val="32"/>
          <w:szCs w:val="32"/>
        </w:rPr>
        <w:t>主要</w:t>
      </w:r>
      <w:r>
        <w:rPr>
          <w:rFonts w:ascii="仿宋" w:eastAsia="仿宋" w:hAnsi="仿宋" w:cs="Helvetica"/>
          <w:bCs/>
          <w:kern w:val="0"/>
          <w:sz w:val="32"/>
          <w:szCs w:val="32"/>
        </w:rPr>
        <w:t>是</w:t>
      </w:r>
      <w:r>
        <w:rPr>
          <w:rFonts w:ascii="仿宋" w:eastAsia="仿宋" w:hAnsi="仿宋" w:cs="Helvetica" w:hint="eastAsia"/>
          <w:bCs/>
          <w:kern w:val="0"/>
          <w:sz w:val="32"/>
          <w:szCs w:val="32"/>
        </w:rPr>
        <w:t>无。</w:t>
      </w:r>
      <w:r>
        <w:rPr>
          <w:rFonts w:ascii="仿宋" w:eastAsia="仿宋" w:hAnsi="仿宋" w:cs="Helvetica"/>
          <w:bCs/>
          <w:kern w:val="0"/>
          <w:sz w:val="32"/>
          <w:szCs w:val="32"/>
        </w:rPr>
        <w:t>单价</w:t>
      </w:r>
      <w:r>
        <w:rPr>
          <w:rFonts w:ascii="仿宋" w:eastAsia="仿宋" w:hAnsi="仿宋" w:cs="Helvetica" w:hint="eastAsia"/>
          <w:bCs/>
          <w:kern w:val="0"/>
          <w:sz w:val="32"/>
          <w:szCs w:val="32"/>
        </w:rPr>
        <w:t>50万元以</w:t>
      </w:r>
      <w:r>
        <w:rPr>
          <w:rFonts w:ascii="仿宋" w:eastAsia="仿宋" w:hAnsi="仿宋" w:cs="Helvetica"/>
          <w:bCs/>
          <w:kern w:val="0"/>
          <w:sz w:val="32"/>
          <w:szCs w:val="32"/>
        </w:rPr>
        <w:t>上的通用设备0台（套），单价</w:t>
      </w:r>
      <w:r>
        <w:rPr>
          <w:rFonts w:ascii="仿宋" w:eastAsia="仿宋" w:hAnsi="仿宋" w:cs="Helvetica" w:hint="eastAsia"/>
          <w:bCs/>
          <w:kern w:val="0"/>
          <w:sz w:val="32"/>
          <w:szCs w:val="32"/>
        </w:rPr>
        <w:t>100万元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为0台（套）</w:t>
      </w:r>
      <w:r>
        <w:rPr>
          <w:rFonts w:ascii="仿宋" w:eastAsia="仿宋" w:hAnsi="仿宋" w:cs="Helvetica" w:hint="eastAsia"/>
          <w:bCs/>
          <w:kern w:val="0"/>
          <w:sz w:val="32"/>
          <w:szCs w:val="32"/>
        </w:rPr>
        <w:t>。</w:t>
      </w:r>
    </w:p>
    <w:p w:rsidR="000E7795" w:rsidRDefault="00D537AC">
      <w:pPr>
        <w:widowControl/>
        <w:spacing w:line="520" w:lineRule="exact"/>
        <w:ind w:firstLine="480"/>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0E7795" w:rsidRDefault="00D537AC">
      <w:pPr>
        <w:widowControl/>
        <w:spacing w:line="560" w:lineRule="exact"/>
        <w:ind w:firstLineChars="200" w:firstLine="420"/>
        <w:rPr>
          <w:rFonts w:ascii="仿宋" w:eastAsia="仿宋" w:hAnsi="仿宋" w:cs="仿宋"/>
          <w:sz w:val="32"/>
          <w:szCs w:val="32"/>
        </w:rPr>
      </w:pPr>
      <w:r>
        <w:rPr>
          <w:rFonts w:ascii="仿宋" w:eastAsia="仿宋" w:hAnsi="仿宋" w:hint="eastAsia"/>
        </w:rPr>
        <w:t xml:space="preserve"> </w:t>
      </w:r>
      <w:r>
        <w:rPr>
          <w:rFonts w:ascii="宋体" w:eastAsia="宋体" w:hAnsi="宋体" w:cs="宋体" w:hint="eastAsia"/>
          <w:sz w:val="24"/>
          <w:szCs w:val="24"/>
        </w:rPr>
        <w:t xml:space="preserve"> </w:t>
      </w:r>
      <w:r>
        <w:rPr>
          <w:rFonts w:ascii="仿宋" w:eastAsia="仿宋" w:hAnsi="仿宋" w:cs="仿宋" w:hint="eastAsia"/>
          <w:sz w:val="32"/>
          <w:szCs w:val="32"/>
        </w:rPr>
        <w:t>“全省统计执法专项经费”项目主要内容是：一是开展执法检查、督办以及数据质量抽查；二是开展统计执法宣传；三是其他应急执法检查和专项检查任务。2024年预算安排20万元，全部为当年一般公共预算财政拨款。</w:t>
      </w:r>
    </w:p>
    <w:p w:rsidR="000E7795" w:rsidRDefault="00D537AC">
      <w:pPr>
        <w:widowControl/>
        <w:spacing w:line="560" w:lineRule="exact"/>
        <w:ind w:firstLineChars="200" w:firstLine="640"/>
        <w:rPr>
          <w:rFonts w:ascii="仿宋" w:eastAsia="仿宋" w:hAnsi="仿宋" w:cs="仿宋"/>
          <w:sz w:val="32"/>
          <w:szCs w:val="32"/>
        </w:rPr>
      </w:pPr>
      <w:r>
        <w:rPr>
          <w:rFonts w:ascii="仿宋_GB2312" w:eastAsia="仿宋_GB2312" w:hint="eastAsia"/>
          <w:sz w:val="32"/>
        </w:rPr>
        <w:lastRenderedPageBreak/>
        <w:t>项目绩效年度目标：</w:t>
      </w:r>
      <w:r>
        <w:rPr>
          <w:rFonts w:ascii="仿宋" w:eastAsia="仿宋" w:hAnsi="仿宋" w:cs="仿宋" w:hint="eastAsia"/>
          <w:sz w:val="32"/>
          <w:szCs w:val="32"/>
        </w:rPr>
        <w:t>健全统计执法机制，强化统计基层基础工作建设，完成对统计执法和数据质量的核查，严肃整治在统计上弄虚作假的行为。进行市、县联动数据质量检查；进行执法检查，严肃查处违纪违法行为。</w:t>
      </w:r>
    </w:p>
    <w:p w:rsidR="000E7795" w:rsidRDefault="00D537AC">
      <w:pPr>
        <w:widowControl/>
        <w:spacing w:line="560" w:lineRule="exact"/>
        <w:ind w:firstLineChars="200" w:firstLine="640"/>
        <w:rPr>
          <w:rFonts w:ascii="仿宋_GB2312" w:eastAsia="仿宋_GB2312"/>
          <w:sz w:val="32"/>
        </w:rPr>
      </w:pPr>
      <w:r>
        <w:rPr>
          <w:rFonts w:ascii="仿宋_GB2312" w:eastAsia="仿宋_GB2312" w:hint="eastAsia"/>
          <w:sz w:val="32"/>
        </w:rPr>
        <w:t>数量指标：培训工作完成率1</w:t>
      </w:r>
      <w:r>
        <w:rPr>
          <w:rFonts w:ascii="仿宋_GB2312" w:eastAsia="仿宋_GB2312"/>
          <w:sz w:val="32"/>
        </w:rPr>
        <w:t>00%；</w:t>
      </w:r>
      <w:r>
        <w:rPr>
          <w:rFonts w:ascii="仿宋_GB2312" w:eastAsia="仿宋_GB2312" w:hint="eastAsia"/>
          <w:sz w:val="32"/>
        </w:rPr>
        <w:t>数据质量核查落实率100%。</w:t>
      </w:r>
    </w:p>
    <w:p w:rsidR="000E7795" w:rsidRDefault="00D537AC">
      <w:pPr>
        <w:widowControl/>
        <w:spacing w:line="560" w:lineRule="exact"/>
        <w:ind w:firstLineChars="200" w:firstLine="640"/>
        <w:rPr>
          <w:rFonts w:ascii="仿宋_GB2312" w:eastAsia="仿宋_GB2312"/>
          <w:sz w:val="32"/>
        </w:rPr>
      </w:pPr>
      <w:r>
        <w:rPr>
          <w:rFonts w:ascii="仿宋_GB2312" w:eastAsia="仿宋_GB2312" w:hint="eastAsia"/>
          <w:sz w:val="32"/>
        </w:rPr>
        <w:t>质量指标：最大限度保证数据质量。</w:t>
      </w:r>
    </w:p>
    <w:p w:rsidR="000E7795" w:rsidRDefault="00D537AC">
      <w:pPr>
        <w:widowControl/>
        <w:spacing w:line="560" w:lineRule="exact"/>
        <w:ind w:firstLineChars="200" w:firstLine="640"/>
        <w:rPr>
          <w:rFonts w:ascii="仿宋_GB2312" w:eastAsia="仿宋_GB2312"/>
          <w:sz w:val="32"/>
        </w:rPr>
      </w:pPr>
      <w:r>
        <w:rPr>
          <w:rFonts w:ascii="仿宋_GB2312" w:eastAsia="仿宋_GB2312" w:hint="eastAsia"/>
          <w:sz w:val="32"/>
        </w:rPr>
        <w:t>时效指标</w:t>
      </w:r>
      <w:r>
        <w:rPr>
          <w:rFonts w:ascii="仿宋_GB2312" w:eastAsia="仿宋_GB2312"/>
          <w:sz w:val="32"/>
        </w:rPr>
        <w:t>：</w:t>
      </w:r>
      <w:r>
        <w:rPr>
          <w:rFonts w:ascii="仿宋_GB2312" w:eastAsia="仿宋_GB2312" w:hint="eastAsia"/>
          <w:sz w:val="32"/>
        </w:rPr>
        <w:t>保证数据上报及时性。</w:t>
      </w:r>
    </w:p>
    <w:p w:rsidR="000E7795" w:rsidRDefault="00D537AC">
      <w:pPr>
        <w:widowControl/>
        <w:spacing w:line="560" w:lineRule="exact"/>
        <w:ind w:firstLineChars="200" w:firstLine="640"/>
        <w:rPr>
          <w:rFonts w:ascii="仿宋_GB2312" w:eastAsia="仿宋_GB2312"/>
          <w:sz w:val="32"/>
        </w:rPr>
      </w:pPr>
      <w:r>
        <w:rPr>
          <w:rFonts w:ascii="仿宋_GB2312" w:eastAsia="仿宋_GB2312" w:hint="eastAsia"/>
          <w:sz w:val="32"/>
        </w:rPr>
        <w:t>满意度指标：</w:t>
      </w:r>
      <w:r>
        <w:rPr>
          <w:rFonts w:ascii="仿宋_GB2312" w:eastAsia="仿宋_GB2312"/>
          <w:sz w:val="32"/>
        </w:rPr>
        <w:t>政府及社会公众</w:t>
      </w:r>
      <w:r>
        <w:rPr>
          <w:rFonts w:ascii="仿宋_GB2312" w:eastAsia="仿宋_GB2312" w:hint="eastAsia"/>
          <w:sz w:val="32"/>
        </w:rPr>
        <w:t>满意</w:t>
      </w:r>
      <w:r>
        <w:rPr>
          <w:rFonts w:ascii="仿宋_GB2312" w:eastAsia="仿宋_GB2312"/>
          <w:sz w:val="32"/>
        </w:rPr>
        <w:t>度</w:t>
      </w:r>
      <w:r>
        <w:rPr>
          <w:rFonts w:ascii="仿宋_GB2312" w:eastAsia="仿宋_GB2312" w:hint="eastAsia"/>
          <w:sz w:val="32"/>
        </w:rPr>
        <w:t>≥</w:t>
      </w:r>
      <w:r>
        <w:rPr>
          <w:rFonts w:ascii="仿宋_GB2312" w:eastAsia="仿宋_GB2312"/>
          <w:sz w:val="32"/>
        </w:rPr>
        <w:t>85</w:t>
      </w:r>
      <w:r>
        <w:rPr>
          <w:rFonts w:ascii="仿宋_GB2312" w:eastAsia="仿宋_GB2312" w:hint="eastAsia"/>
          <w:sz w:val="32"/>
        </w:rPr>
        <w:t>%。</w:t>
      </w:r>
    </w:p>
    <w:p w:rsidR="000E7795" w:rsidRDefault="00D537AC">
      <w:pPr>
        <w:widowControl/>
        <w:spacing w:line="560" w:lineRule="exact"/>
        <w:ind w:firstLineChars="200" w:firstLine="640"/>
        <w:rPr>
          <w:rFonts w:ascii="仿宋" w:eastAsia="仿宋" w:hAnsi="仿宋" w:cs="仿宋_GB2312"/>
          <w:bCs/>
          <w:kern w:val="0"/>
          <w:sz w:val="32"/>
          <w:szCs w:val="32"/>
        </w:rPr>
      </w:pPr>
      <w:r>
        <w:rPr>
          <w:rFonts w:ascii="仿宋_GB2312" w:eastAsia="仿宋_GB2312" w:hint="eastAsia"/>
          <w:sz w:val="32"/>
        </w:rPr>
        <w:t>效益指标：有效保障统计执法工作</w:t>
      </w:r>
      <w:r>
        <w:rPr>
          <w:rFonts w:ascii="仿宋_GB2312" w:eastAsia="仿宋_GB2312"/>
          <w:sz w:val="32"/>
        </w:rPr>
        <w:t>。</w:t>
      </w:r>
    </w:p>
    <w:p w:rsidR="000E7795" w:rsidRDefault="00D537AC">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0E7795" w:rsidRPr="001C073B" w:rsidRDefault="00D537AC" w:rsidP="001C073B">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1.对空表的说明：</w:t>
      </w:r>
    </w:p>
    <w:p w:rsidR="000E7795" w:rsidRDefault="00D537AC">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我单位2024年无政府性基金预算支出，故该表为空表。</w:t>
      </w:r>
    </w:p>
    <w:p w:rsidR="000E7795" w:rsidRDefault="00D537AC">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2.其他情况的说明：</w:t>
      </w:r>
    </w:p>
    <w:p w:rsidR="00055C45" w:rsidRPr="00055C45" w:rsidRDefault="00055C45">
      <w:pPr>
        <w:widowControl/>
        <w:spacing w:line="520" w:lineRule="exact"/>
        <w:ind w:firstLine="660"/>
        <w:rPr>
          <w:rFonts w:ascii="仿宋_GB2312" w:eastAsia="仿宋_GB2312" w:hAnsi="仿宋_GB2312" w:cs="仿宋_GB2312"/>
          <w:bCs/>
          <w:kern w:val="0"/>
          <w:sz w:val="32"/>
          <w:szCs w:val="32"/>
        </w:rPr>
      </w:pPr>
      <w:bookmarkStart w:id="0" w:name="_GoBack"/>
      <w:r w:rsidRPr="00055C45">
        <w:rPr>
          <w:rFonts w:ascii="仿宋_GB2312" w:eastAsia="仿宋_GB2312" w:hAnsi="仿宋_GB2312" w:cs="仿宋_GB2312"/>
          <w:bCs/>
          <w:kern w:val="0"/>
          <w:sz w:val="32"/>
          <w:szCs w:val="32"/>
        </w:rPr>
        <w:t>本单位专项支出。2024年本单位专项支出为0，与上年相比无变化。</w:t>
      </w:r>
      <w:r w:rsidRPr="00055C45">
        <w:rPr>
          <w:rFonts w:ascii="仿宋_GB2312" w:eastAsia="仿宋_GB2312" w:hAnsi="仿宋_GB2312" w:cs="仿宋_GB2312"/>
          <w:bCs/>
          <w:kern w:val="0"/>
          <w:sz w:val="32"/>
          <w:szCs w:val="32"/>
        </w:rPr>
        <w:br/>
      </w:r>
      <w:r w:rsidRPr="00055C45">
        <w:rPr>
          <w:rFonts w:ascii="Calibri" w:eastAsia="仿宋_GB2312" w:hAnsi="Calibri" w:cs="Calibri"/>
          <w:bCs/>
          <w:kern w:val="0"/>
          <w:sz w:val="32"/>
          <w:szCs w:val="32"/>
        </w:rPr>
        <w:t>    </w:t>
      </w:r>
      <w:r>
        <w:rPr>
          <w:rFonts w:ascii="Calibri" w:eastAsia="仿宋_GB2312" w:hAnsi="Calibri" w:cs="Calibri" w:hint="eastAsia"/>
          <w:bCs/>
          <w:kern w:val="0"/>
          <w:sz w:val="32"/>
          <w:szCs w:val="32"/>
        </w:rPr>
        <w:t xml:space="preserve">  </w:t>
      </w:r>
      <w:r w:rsidRPr="00055C45">
        <w:rPr>
          <w:rFonts w:ascii="仿宋_GB2312" w:eastAsia="仿宋_GB2312" w:hAnsi="仿宋_GB2312" w:cs="仿宋_GB2312"/>
          <w:bCs/>
          <w:kern w:val="0"/>
          <w:sz w:val="32"/>
          <w:szCs w:val="32"/>
        </w:rPr>
        <w:t>一般性转移支付支出。2024年一般性转移支付支出为0，与上年相比无变化。</w:t>
      </w:r>
      <w:r w:rsidRPr="00055C45">
        <w:rPr>
          <w:rFonts w:ascii="仿宋_GB2312" w:eastAsia="仿宋_GB2312" w:hAnsi="仿宋_GB2312" w:cs="仿宋_GB2312"/>
          <w:bCs/>
          <w:kern w:val="0"/>
          <w:sz w:val="32"/>
          <w:szCs w:val="32"/>
        </w:rPr>
        <w:br/>
      </w:r>
      <w:r w:rsidRPr="00055C45">
        <w:rPr>
          <w:rFonts w:ascii="Calibri" w:eastAsia="仿宋_GB2312" w:hAnsi="Calibri" w:cs="Calibri"/>
          <w:bCs/>
          <w:kern w:val="0"/>
          <w:sz w:val="32"/>
          <w:szCs w:val="32"/>
        </w:rPr>
        <w:t> </w:t>
      </w:r>
      <w:r>
        <w:rPr>
          <w:rFonts w:ascii="Calibri" w:eastAsia="仿宋_GB2312" w:hAnsi="Calibri" w:cs="Calibri" w:hint="eastAsia"/>
          <w:bCs/>
          <w:kern w:val="0"/>
          <w:sz w:val="32"/>
          <w:szCs w:val="32"/>
        </w:rPr>
        <w:t xml:space="preserve">  </w:t>
      </w:r>
      <w:r w:rsidRPr="00055C45">
        <w:rPr>
          <w:rFonts w:ascii="Calibri" w:eastAsia="仿宋_GB2312" w:hAnsi="Calibri" w:cs="Calibri"/>
          <w:bCs/>
          <w:kern w:val="0"/>
          <w:sz w:val="32"/>
          <w:szCs w:val="32"/>
        </w:rPr>
        <w:t>   </w:t>
      </w:r>
      <w:r w:rsidRPr="00055C45">
        <w:rPr>
          <w:rFonts w:ascii="仿宋_GB2312" w:eastAsia="仿宋_GB2312" w:hAnsi="仿宋_GB2312" w:cs="仿宋_GB2312"/>
          <w:bCs/>
          <w:kern w:val="0"/>
          <w:sz w:val="32"/>
          <w:szCs w:val="32"/>
        </w:rPr>
        <w:t>专项转移支付支出。2024年专项转移支付支出为0，与上年相比无变化。</w:t>
      </w:r>
    </w:p>
    <w:bookmarkEnd w:id="0"/>
    <w:p w:rsidR="000E7795" w:rsidRDefault="00D537AC">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0E7795" w:rsidRDefault="00D537AC">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w:t>
      </w:r>
      <w:r>
        <w:rPr>
          <w:rFonts w:ascii="仿宋_GB2312" w:eastAsia="仿宋_GB2312" w:hAnsi="仿宋_GB2312" w:cs="仿宋_GB2312" w:hint="eastAsia"/>
          <w:bCs/>
          <w:kern w:val="0"/>
          <w:sz w:val="32"/>
          <w:szCs w:val="32"/>
        </w:rPr>
        <w:lastRenderedPageBreak/>
        <w:t>专用材料及一般设备购置费、办公用房水电费、办公用房取暖费、办公用房物业管理费、公务用车运行费以及其他费用。</w:t>
      </w:r>
    </w:p>
    <w:p w:rsidR="000E7795" w:rsidRDefault="00D537A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0E7795" w:rsidRDefault="00D537A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0E7795" w:rsidRDefault="00D537A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4．财政拨款（补助）收入：</w:t>
      </w:r>
      <w:r>
        <w:rPr>
          <w:rFonts w:ascii="仿宋_GB2312" w:eastAsia="仿宋_GB2312" w:hAnsi="仿宋_GB2312" w:cs="仿宋_GB2312" w:hint="eastAsia"/>
          <w:bCs/>
          <w:kern w:val="0"/>
          <w:sz w:val="32"/>
          <w:szCs w:val="32"/>
        </w:rPr>
        <w:t>指从同级财政部门取得的财政预算资金。</w:t>
      </w:r>
    </w:p>
    <w:p w:rsidR="000E7795" w:rsidRDefault="00D537A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5．其他收入：</w:t>
      </w:r>
      <w:r>
        <w:rPr>
          <w:rFonts w:ascii="仿宋_GB2312" w:eastAsia="仿宋_GB2312" w:hAnsi="仿宋_GB2312" w:cs="仿宋_GB2312" w:hint="eastAsia"/>
          <w:bCs/>
          <w:kern w:val="0"/>
          <w:sz w:val="32"/>
          <w:szCs w:val="32"/>
        </w:rPr>
        <w:t>指除上述“财政拨款收入”以外任务相应安排的资金。</w:t>
      </w:r>
    </w:p>
    <w:p w:rsidR="000E7795" w:rsidRDefault="00D537A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0E7795" w:rsidRDefault="00D537AC">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0E77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53E" w:rsidRDefault="00DD153E" w:rsidP="00475E81">
      <w:r>
        <w:separator/>
      </w:r>
    </w:p>
  </w:endnote>
  <w:endnote w:type="continuationSeparator" w:id="0">
    <w:p w:rsidR="00DD153E" w:rsidRDefault="00DD153E" w:rsidP="0047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53E" w:rsidRDefault="00DD153E" w:rsidP="00475E81">
      <w:r>
        <w:separator/>
      </w:r>
    </w:p>
  </w:footnote>
  <w:footnote w:type="continuationSeparator" w:id="0">
    <w:p w:rsidR="00DD153E" w:rsidRDefault="00DD153E" w:rsidP="00475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5MzdhYWU3NmNkZjU1OWEwZTNkZGQzMTIzNTVkNjAifQ=="/>
  </w:docVars>
  <w:rsids>
    <w:rsidRoot w:val="0010135B"/>
    <w:rsid w:val="00055C45"/>
    <w:rsid w:val="0007474A"/>
    <w:rsid w:val="000E7795"/>
    <w:rsid w:val="000F1F99"/>
    <w:rsid w:val="0010135B"/>
    <w:rsid w:val="00104384"/>
    <w:rsid w:val="001212FB"/>
    <w:rsid w:val="001C073B"/>
    <w:rsid w:val="001F06A4"/>
    <w:rsid w:val="002144B6"/>
    <w:rsid w:val="00295E97"/>
    <w:rsid w:val="002D3ABD"/>
    <w:rsid w:val="002F12C2"/>
    <w:rsid w:val="0030520C"/>
    <w:rsid w:val="00322A49"/>
    <w:rsid w:val="003E7A9D"/>
    <w:rsid w:val="004041DC"/>
    <w:rsid w:val="004203F4"/>
    <w:rsid w:val="00446C71"/>
    <w:rsid w:val="004503F7"/>
    <w:rsid w:val="00475E81"/>
    <w:rsid w:val="004D0181"/>
    <w:rsid w:val="004F0C1C"/>
    <w:rsid w:val="0051352A"/>
    <w:rsid w:val="00534973"/>
    <w:rsid w:val="005478B4"/>
    <w:rsid w:val="00561456"/>
    <w:rsid w:val="0057763A"/>
    <w:rsid w:val="005A201B"/>
    <w:rsid w:val="006106E6"/>
    <w:rsid w:val="006368CD"/>
    <w:rsid w:val="00655A33"/>
    <w:rsid w:val="006750AC"/>
    <w:rsid w:val="00683170"/>
    <w:rsid w:val="006A58C5"/>
    <w:rsid w:val="006A75D1"/>
    <w:rsid w:val="006F32D4"/>
    <w:rsid w:val="00711536"/>
    <w:rsid w:val="0074268D"/>
    <w:rsid w:val="00767043"/>
    <w:rsid w:val="007827A9"/>
    <w:rsid w:val="007A559B"/>
    <w:rsid w:val="007C4C2E"/>
    <w:rsid w:val="007E1C31"/>
    <w:rsid w:val="00803BBA"/>
    <w:rsid w:val="008226AF"/>
    <w:rsid w:val="00825892"/>
    <w:rsid w:val="0089100F"/>
    <w:rsid w:val="00911D1D"/>
    <w:rsid w:val="00936938"/>
    <w:rsid w:val="0096313A"/>
    <w:rsid w:val="009951FA"/>
    <w:rsid w:val="00AC2B06"/>
    <w:rsid w:val="00AC4FAF"/>
    <w:rsid w:val="00AE30B8"/>
    <w:rsid w:val="00AE7AD7"/>
    <w:rsid w:val="00B1576F"/>
    <w:rsid w:val="00B40BD2"/>
    <w:rsid w:val="00B9662E"/>
    <w:rsid w:val="00BC0C0C"/>
    <w:rsid w:val="00BD7A04"/>
    <w:rsid w:val="00C24A40"/>
    <w:rsid w:val="00C61789"/>
    <w:rsid w:val="00C906D2"/>
    <w:rsid w:val="00CB4CBA"/>
    <w:rsid w:val="00CC0D29"/>
    <w:rsid w:val="00CE3E4B"/>
    <w:rsid w:val="00CE63F1"/>
    <w:rsid w:val="00CE7F9A"/>
    <w:rsid w:val="00D1622F"/>
    <w:rsid w:val="00D537AC"/>
    <w:rsid w:val="00D87A1D"/>
    <w:rsid w:val="00DD153E"/>
    <w:rsid w:val="00DF71BD"/>
    <w:rsid w:val="00E25628"/>
    <w:rsid w:val="00E7467E"/>
    <w:rsid w:val="00E83A19"/>
    <w:rsid w:val="00EB36A7"/>
    <w:rsid w:val="00EB3CB1"/>
    <w:rsid w:val="00EB62F2"/>
    <w:rsid w:val="00EF1D11"/>
    <w:rsid w:val="00EF7695"/>
    <w:rsid w:val="00F014E5"/>
    <w:rsid w:val="00FE60EE"/>
    <w:rsid w:val="01C25065"/>
    <w:rsid w:val="0661309E"/>
    <w:rsid w:val="09886B94"/>
    <w:rsid w:val="0E910299"/>
    <w:rsid w:val="0EC35F79"/>
    <w:rsid w:val="0FD77F2D"/>
    <w:rsid w:val="121A2353"/>
    <w:rsid w:val="12B26FB1"/>
    <w:rsid w:val="13256C07"/>
    <w:rsid w:val="14C111AC"/>
    <w:rsid w:val="15F31839"/>
    <w:rsid w:val="169721C5"/>
    <w:rsid w:val="17514A69"/>
    <w:rsid w:val="1768590F"/>
    <w:rsid w:val="1B487F31"/>
    <w:rsid w:val="1C146065"/>
    <w:rsid w:val="205D0B0E"/>
    <w:rsid w:val="224E73AF"/>
    <w:rsid w:val="268A58A2"/>
    <w:rsid w:val="26D20FF7"/>
    <w:rsid w:val="2A2D2104"/>
    <w:rsid w:val="2C9C1E8B"/>
    <w:rsid w:val="2FC65F6C"/>
    <w:rsid w:val="324C7EAF"/>
    <w:rsid w:val="32CD2A10"/>
    <w:rsid w:val="35E054DE"/>
    <w:rsid w:val="379320DC"/>
    <w:rsid w:val="38EE1CC0"/>
    <w:rsid w:val="3BDF7FE6"/>
    <w:rsid w:val="3E55633E"/>
    <w:rsid w:val="445D5F4C"/>
    <w:rsid w:val="456E15B8"/>
    <w:rsid w:val="47F308F3"/>
    <w:rsid w:val="49E52C6C"/>
    <w:rsid w:val="4BE64A79"/>
    <w:rsid w:val="4D7560B4"/>
    <w:rsid w:val="4EEA1863"/>
    <w:rsid w:val="4F457D08"/>
    <w:rsid w:val="563A7E9B"/>
    <w:rsid w:val="58951D01"/>
    <w:rsid w:val="5A700DA8"/>
    <w:rsid w:val="5AF364C6"/>
    <w:rsid w:val="5BE002A5"/>
    <w:rsid w:val="60F034F7"/>
    <w:rsid w:val="61412A26"/>
    <w:rsid w:val="62357205"/>
    <w:rsid w:val="63DA2CBD"/>
    <w:rsid w:val="66BE54F2"/>
    <w:rsid w:val="68CA77A4"/>
    <w:rsid w:val="68CD2DF1"/>
    <w:rsid w:val="69C16928"/>
    <w:rsid w:val="6E5B2C4D"/>
    <w:rsid w:val="6EB34837"/>
    <w:rsid w:val="6F2D283B"/>
    <w:rsid w:val="703A5210"/>
    <w:rsid w:val="78216CB5"/>
    <w:rsid w:val="79AC4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B15B884-2DE8-48AE-B5F7-2F6D8841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autoRedefine/>
    <w:uiPriority w:val="99"/>
    <w:qFormat/>
    <w:rPr>
      <w:rFonts w:ascii="宋体" w:hAnsi="Courier New" w:cs="Courier New"/>
    </w:rPr>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100" w:beforeAutospacing="1" w:after="100" w:afterAutospacing="1"/>
      <w:jc w:val="left"/>
    </w:pPr>
    <w:rPr>
      <w:rFonts w:cs="Times New Roman"/>
      <w:kern w:val="0"/>
      <w:sz w:val="24"/>
      <w:szCs w:val="24"/>
    </w:rPr>
  </w:style>
  <w:style w:type="paragraph" w:styleId="a7">
    <w:name w:val="List Paragraph"/>
    <w:basedOn w:val="a"/>
    <w:autoRedefine/>
    <w:uiPriority w:val="34"/>
    <w:qFormat/>
    <w:pPr>
      <w:ind w:firstLineChars="200" w:firstLine="420"/>
    </w:p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443</Words>
  <Characters>2529</Characters>
  <Application>Microsoft Office Word</Application>
  <DocSecurity>0</DocSecurity>
  <Lines>21</Lines>
  <Paragraphs>5</Paragraphs>
  <ScaleCrop>false</ScaleCrop>
  <Company>P R C</Company>
  <LinksUpToDate>false</LinksUpToDate>
  <CharactersWithSpaces>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Hp</cp:lastModifiedBy>
  <cp:revision>13</cp:revision>
  <cp:lastPrinted>2022-02-22T02:20:00Z</cp:lastPrinted>
  <dcterms:created xsi:type="dcterms:W3CDTF">2024-02-21T06:27:00Z</dcterms:created>
  <dcterms:modified xsi:type="dcterms:W3CDTF">2024-03-18T05:19:00Z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3B0556B3E50B48789213F4B59220E1D2_12</vt:lpwstr>
  </property>
</Properties>
</file>