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widowControl/>
        <w:spacing w:line="560" w:lineRule="exact"/>
        <w:jc w:val="center"/>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湖北</w:t>
      </w:r>
      <w:r>
        <w:rPr>
          <w:rFonts w:ascii="黑体" w:hAnsi="黑体" w:eastAsia="黑体" w:cs="Helvetica"/>
          <w:color w:val="333333"/>
          <w:kern w:val="0"/>
          <w:sz w:val="44"/>
          <w:szCs w:val="44"/>
        </w:rPr>
        <w:t>省统计局</w:t>
      </w:r>
      <w:r>
        <w:rPr>
          <w:rFonts w:hint="eastAsia" w:ascii="黑体" w:hAnsi="黑体" w:eastAsia="黑体" w:cs="Helvetica"/>
          <w:color w:val="333333"/>
          <w:kern w:val="0"/>
          <w:sz w:val="44"/>
          <w:szCs w:val="44"/>
          <w:lang w:eastAsia="zh-CN"/>
        </w:rPr>
        <w:t>天门</w:t>
      </w:r>
      <w:r>
        <w:rPr>
          <w:rFonts w:ascii="黑体" w:hAnsi="黑体" w:eastAsia="黑体" w:cs="Helvetica"/>
          <w:color w:val="333333"/>
          <w:kern w:val="0"/>
          <w:sz w:val="44"/>
          <w:szCs w:val="44"/>
        </w:rPr>
        <w:t>调查监测</w:t>
      </w:r>
      <w:r>
        <w:rPr>
          <w:rFonts w:hint="eastAsia" w:ascii="黑体" w:hAnsi="黑体" w:eastAsia="黑体" w:cs="Helvetica"/>
          <w:color w:val="333333"/>
          <w:kern w:val="0"/>
          <w:sz w:val="44"/>
          <w:szCs w:val="44"/>
          <w:lang w:eastAsia="zh-CN"/>
        </w:rPr>
        <w:t>分局</w:t>
      </w:r>
      <w:r>
        <w:rPr>
          <w:rFonts w:hint="eastAsia" w:ascii="黑体" w:hAnsi="黑体" w:eastAsia="黑体" w:cs="Helvetica"/>
          <w:color w:val="333333"/>
          <w:kern w:val="0"/>
          <w:sz w:val="44"/>
          <w:szCs w:val="44"/>
        </w:rPr>
        <w:t>20</w:t>
      </w:r>
      <w:r>
        <w:rPr>
          <w:rFonts w:hint="eastAsia" w:ascii="黑体" w:hAnsi="黑体" w:eastAsia="黑体" w:cs="Helvetica"/>
          <w:color w:val="333333"/>
          <w:kern w:val="0"/>
          <w:sz w:val="44"/>
          <w:szCs w:val="44"/>
          <w:lang w:val="en-US" w:eastAsia="zh-CN"/>
        </w:rPr>
        <w:t>23</w:t>
      </w:r>
      <w:r>
        <w:rPr>
          <w:rFonts w:hint="eastAsia" w:ascii="黑体" w:hAnsi="黑体" w:eastAsia="黑体" w:cs="Helvetica"/>
          <w:color w:val="333333"/>
          <w:kern w:val="0"/>
          <w:sz w:val="44"/>
          <w:szCs w:val="44"/>
        </w:rPr>
        <w:t>年单位预算公开情况</w:t>
      </w:r>
      <w:r>
        <w:rPr>
          <w:rFonts w:ascii="黑体" w:hAnsi="黑体" w:eastAsia="黑体" w:cs="Helvetica"/>
          <w:color w:val="333333"/>
          <w:kern w:val="0"/>
          <w:sz w:val="44"/>
          <w:szCs w:val="44"/>
        </w:rPr>
        <w:t>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一、单位主要职责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天门</w:t>
      </w:r>
      <w:r>
        <w:rPr>
          <w:rFonts w:hint="eastAsia" w:ascii="仿宋_GB2312" w:hAnsi="仿宋_GB2312" w:eastAsia="仿宋_GB2312" w:cs="仿宋_GB2312"/>
          <w:sz w:val="32"/>
          <w:szCs w:val="32"/>
        </w:rPr>
        <w:t>市统计数据质量进行监测和核查；组织实施统计调查和监测工作；参与统计执法相关工作；参与大型国情国力调查等重大统计工作；协助</w:t>
      </w:r>
      <w:r>
        <w:rPr>
          <w:rFonts w:hint="eastAsia" w:ascii="仿宋_GB2312" w:hAnsi="仿宋_GB2312" w:eastAsia="仿宋_GB2312" w:cs="仿宋_GB2312"/>
          <w:sz w:val="32"/>
          <w:szCs w:val="32"/>
          <w:lang w:eastAsia="zh-CN"/>
        </w:rPr>
        <w:t>天门</w:t>
      </w:r>
      <w:r>
        <w:rPr>
          <w:rFonts w:hint="eastAsia" w:ascii="仿宋_GB2312" w:hAnsi="仿宋_GB2312" w:eastAsia="仿宋_GB2312" w:cs="仿宋_GB2312"/>
          <w:sz w:val="32"/>
          <w:szCs w:val="32"/>
        </w:rPr>
        <w:t>市统计局开展相关工作；完成省统计局、省统计局调查监测中心交办的其他工作。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color w:val="333333"/>
          <w:kern w:val="0"/>
          <w:sz w:val="32"/>
          <w:szCs w:val="32"/>
        </w:rPr>
      </w:pPr>
      <w:r>
        <w:rPr>
          <w:rFonts w:hint="eastAsia" w:ascii="黑体" w:hAnsi="黑体" w:eastAsia="黑体" w:cs="黑体"/>
          <w:kern w:val="0"/>
          <w:sz w:val="32"/>
          <w:szCs w:val="32"/>
        </w:rPr>
        <w:t>二、机构设置情况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我单位设2个内设机构：调查监测一科、调查监测二科。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lang w:val="zh-CN"/>
        </w:rPr>
      </w:pPr>
      <w:r>
        <w:rPr>
          <w:rFonts w:hint="eastAsia" w:ascii="楷体_GB2312" w:hAnsi="楷体_GB2312" w:eastAsia="楷体_GB2312" w:cs="楷体_GB2312"/>
          <w:b/>
          <w:bCs w:val="0"/>
          <w:kern w:val="0"/>
          <w:sz w:val="32"/>
          <w:szCs w:val="32"/>
          <w:lang w:val="en-US" w:eastAsia="zh-CN"/>
        </w:rPr>
        <w:t>1.</w:t>
      </w:r>
      <w:r>
        <w:rPr>
          <w:rFonts w:hint="eastAsia" w:ascii="楷体_GB2312" w:hAnsi="楷体_GB2312" w:eastAsia="楷体_GB2312" w:cs="楷体_GB2312"/>
          <w:b/>
          <w:bCs w:val="0"/>
          <w:kern w:val="0"/>
          <w:sz w:val="32"/>
          <w:szCs w:val="32"/>
          <w:lang w:val="zh-CN"/>
        </w:rPr>
        <w:t>调查监测一科的主要职责是：</w:t>
      </w:r>
      <w:r>
        <w:rPr>
          <w:rFonts w:hint="eastAsia" w:ascii="仿宋_GB2312" w:hAnsi="仿宋_GB2312" w:eastAsia="仿宋_GB2312" w:cs="仿宋_GB2312"/>
          <w:bCs/>
          <w:kern w:val="0"/>
          <w:sz w:val="32"/>
          <w:szCs w:val="32"/>
          <w:lang w:val="zh-CN"/>
        </w:rPr>
        <w:t>负责统计数据质量监测和核查；负责分局的日常管理和综合协调；组织开展相关统计调查和监测工作；参与统计执法相关工作；参与大型国情国力调查等重大统计工作；协助天门市统计局开展相关工作；完成省统计局、省统计局调查监测中心交办的其他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lang w:val="zh-CN"/>
        </w:rPr>
      </w:pPr>
      <w:r>
        <w:rPr>
          <w:rFonts w:hint="eastAsia" w:ascii="楷体_GB2312" w:hAnsi="楷体_GB2312" w:eastAsia="楷体_GB2312" w:cs="楷体_GB2312"/>
          <w:b/>
          <w:bCs w:val="0"/>
          <w:kern w:val="0"/>
          <w:sz w:val="32"/>
          <w:szCs w:val="32"/>
          <w:lang w:val="en-US" w:eastAsia="zh-CN"/>
        </w:rPr>
        <w:t>2.</w:t>
      </w:r>
      <w:r>
        <w:rPr>
          <w:rFonts w:hint="eastAsia" w:ascii="楷体_GB2312" w:hAnsi="楷体_GB2312" w:eastAsia="楷体_GB2312" w:cs="楷体_GB2312"/>
          <w:b/>
          <w:bCs w:val="0"/>
          <w:kern w:val="0"/>
          <w:sz w:val="32"/>
          <w:szCs w:val="32"/>
          <w:lang w:val="zh-CN"/>
        </w:rPr>
        <w:t>调查监测二科的主要职责是：</w:t>
      </w:r>
      <w:r>
        <w:rPr>
          <w:rFonts w:hint="eastAsia" w:ascii="仿宋_GB2312" w:hAnsi="仿宋_GB2312" w:eastAsia="仿宋_GB2312" w:cs="仿宋_GB2312"/>
          <w:bCs/>
          <w:kern w:val="0"/>
          <w:sz w:val="32"/>
          <w:szCs w:val="32"/>
          <w:lang w:val="zh-CN"/>
        </w:rPr>
        <w:t>负责统计数据质量监测和核查；开展统计执法相关工作；参与大型国情国力调查等重大统计工作；协助天门市统计局开展相关工作；完成省统计局、省统计局调查监测中心交办的其他工作。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三、预算收支及增减变化情况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_GB2312"/>
          <w:bCs/>
          <w:color w:val="000000"/>
          <w:kern w:val="0"/>
          <w:sz w:val="32"/>
          <w:szCs w:val="32"/>
          <w:highlight w:val="none"/>
        </w:rPr>
      </w:pPr>
      <w:r>
        <w:rPr>
          <w:rFonts w:ascii="楷体" w:hAnsi="楷体" w:eastAsia="楷体" w:cs="Helvetica"/>
          <w:b/>
          <w:bCs/>
          <w:color w:val="333333"/>
          <w:kern w:val="0"/>
          <w:sz w:val="32"/>
          <w:szCs w:val="32"/>
          <w:highlight w:val="none"/>
        </w:rPr>
        <w:t>1.</w:t>
      </w:r>
      <w:r>
        <w:rPr>
          <w:rFonts w:hint="eastAsia" w:ascii="楷体" w:hAnsi="楷体" w:eastAsia="楷体" w:cs="Helvetica"/>
          <w:b/>
          <w:bCs/>
          <w:color w:val="333333"/>
          <w:kern w:val="0"/>
          <w:sz w:val="32"/>
          <w:szCs w:val="32"/>
          <w:highlight w:val="none"/>
        </w:rPr>
        <w:t>预算收入情况:</w:t>
      </w:r>
      <w:r>
        <w:rPr>
          <w:rFonts w:hint="eastAsia" w:ascii="仿宋" w:hAnsi="仿宋" w:eastAsia="仿宋" w:cs="仿宋_GB2312"/>
          <w:bCs/>
          <w:color w:val="000000"/>
          <w:kern w:val="0"/>
          <w:sz w:val="32"/>
          <w:szCs w:val="32"/>
          <w:highlight w:val="none"/>
        </w:rPr>
        <w:t>20</w:t>
      </w:r>
      <w:r>
        <w:rPr>
          <w:rFonts w:hint="eastAsia" w:ascii="仿宋" w:hAnsi="仿宋" w:eastAsia="仿宋" w:cs="仿宋_GB2312"/>
          <w:bCs/>
          <w:color w:val="000000"/>
          <w:kern w:val="0"/>
          <w:sz w:val="32"/>
          <w:szCs w:val="32"/>
          <w:highlight w:val="none"/>
          <w:lang w:val="en-US" w:eastAsia="zh-CN"/>
        </w:rPr>
        <w:t>23</w:t>
      </w:r>
      <w:r>
        <w:rPr>
          <w:rFonts w:hint="eastAsia" w:ascii="仿宋" w:hAnsi="仿宋" w:eastAsia="仿宋" w:cs="仿宋_GB2312"/>
          <w:bCs/>
          <w:color w:val="000000"/>
          <w:kern w:val="0"/>
          <w:sz w:val="32"/>
          <w:szCs w:val="32"/>
          <w:highlight w:val="none"/>
        </w:rPr>
        <w:t>年本年</w:t>
      </w:r>
      <w:r>
        <w:rPr>
          <w:rFonts w:ascii="仿宋" w:hAnsi="仿宋" w:eastAsia="仿宋" w:cs="仿宋_GB2312"/>
          <w:bCs/>
          <w:color w:val="000000"/>
          <w:kern w:val="0"/>
          <w:sz w:val="32"/>
          <w:szCs w:val="32"/>
          <w:highlight w:val="none"/>
        </w:rPr>
        <w:t>收入</w:t>
      </w:r>
      <w:r>
        <w:rPr>
          <w:rFonts w:hint="eastAsia" w:ascii="仿宋" w:hAnsi="仿宋" w:eastAsia="仿宋" w:cs="仿宋_GB2312"/>
          <w:bCs/>
          <w:color w:val="000000"/>
          <w:kern w:val="0"/>
          <w:sz w:val="32"/>
          <w:szCs w:val="32"/>
          <w:highlight w:val="none"/>
        </w:rPr>
        <w:t>为</w:t>
      </w:r>
      <w:r>
        <w:rPr>
          <w:rFonts w:hint="eastAsia" w:ascii="仿宋" w:hAnsi="仿宋" w:eastAsia="仿宋" w:cs="仿宋_GB2312"/>
          <w:bCs/>
          <w:color w:val="000000"/>
          <w:kern w:val="0"/>
          <w:sz w:val="32"/>
          <w:szCs w:val="32"/>
          <w:highlight w:val="none"/>
          <w:lang w:val="en-US" w:eastAsia="zh-CN"/>
        </w:rPr>
        <w:t>124</w:t>
      </w:r>
      <w:r>
        <w:rPr>
          <w:rFonts w:hint="eastAsia" w:ascii="仿宋" w:hAnsi="仿宋" w:eastAsia="仿宋" w:cs="仿宋_GB2312"/>
          <w:bCs/>
          <w:color w:val="000000"/>
          <w:kern w:val="0"/>
          <w:sz w:val="32"/>
          <w:szCs w:val="32"/>
          <w:highlight w:val="none"/>
        </w:rPr>
        <w:t>万元，比上年</w:t>
      </w:r>
      <w:r>
        <w:rPr>
          <w:rFonts w:hint="eastAsia" w:ascii="仿宋" w:hAnsi="仿宋" w:eastAsia="仿宋" w:cs="仿宋_GB2312"/>
          <w:bCs/>
          <w:color w:val="000000"/>
          <w:kern w:val="0"/>
          <w:sz w:val="32"/>
          <w:szCs w:val="32"/>
          <w:highlight w:val="none"/>
          <w:lang w:val="en-US" w:eastAsia="zh-CN"/>
        </w:rPr>
        <w:t>增加16</w:t>
      </w:r>
      <w:r>
        <w:rPr>
          <w:rFonts w:hint="eastAsia" w:ascii="仿宋" w:hAnsi="仿宋" w:eastAsia="仿宋" w:cs="仿宋_GB2312"/>
          <w:bCs/>
          <w:color w:val="000000"/>
          <w:kern w:val="0"/>
          <w:sz w:val="32"/>
          <w:szCs w:val="32"/>
          <w:highlight w:val="none"/>
        </w:rPr>
        <w:t>万</w:t>
      </w:r>
      <w:r>
        <w:rPr>
          <w:rFonts w:ascii="仿宋" w:hAnsi="仿宋" w:eastAsia="仿宋" w:cs="仿宋_GB2312"/>
          <w:bCs/>
          <w:color w:val="000000"/>
          <w:kern w:val="0"/>
          <w:sz w:val="32"/>
          <w:szCs w:val="32"/>
          <w:highlight w:val="none"/>
        </w:rPr>
        <w:t>元，</w:t>
      </w:r>
      <w:r>
        <w:rPr>
          <w:rFonts w:hint="eastAsia" w:ascii="仿宋" w:hAnsi="仿宋" w:eastAsia="仿宋" w:cs="仿宋_GB2312"/>
          <w:bCs/>
          <w:color w:val="000000"/>
          <w:kern w:val="0"/>
          <w:sz w:val="32"/>
          <w:szCs w:val="32"/>
          <w:highlight w:val="none"/>
          <w:lang w:val="en-US" w:eastAsia="zh-CN"/>
        </w:rPr>
        <w:t>增长14.8%</w:t>
      </w:r>
      <w:r>
        <w:rPr>
          <w:rFonts w:hint="eastAsia" w:ascii="仿宋" w:hAnsi="仿宋" w:eastAsia="仿宋" w:cs="仿宋_GB2312"/>
          <w:bCs/>
          <w:color w:val="000000"/>
          <w:kern w:val="0"/>
          <w:sz w:val="32"/>
          <w:szCs w:val="32"/>
          <w:highlight w:val="none"/>
        </w:rPr>
        <w:t>。其中，经费拨款</w:t>
      </w:r>
      <w:r>
        <w:rPr>
          <w:rFonts w:hint="eastAsia" w:ascii="仿宋" w:hAnsi="仿宋" w:eastAsia="仿宋" w:cs="仿宋_GB2312"/>
          <w:bCs/>
          <w:color w:val="000000"/>
          <w:kern w:val="0"/>
          <w:sz w:val="32"/>
          <w:szCs w:val="32"/>
          <w:highlight w:val="none"/>
          <w:lang w:val="en-US" w:eastAsia="zh-CN"/>
        </w:rPr>
        <w:t>124</w:t>
      </w:r>
      <w:r>
        <w:rPr>
          <w:rFonts w:hint="eastAsia" w:ascii="仿宋" w:hAnsi="仿宋" w:eastAsia="仿宋" w:cs="仿宋_GB2312"/>
          <w:bCs/>
          <w:color w:val="000000"/>
          <w:kern w:val="0"/>
          <w:sz w:val="32"/>
          <w:szCs w:val="32"/>
          <w:highlight w:val="none"/>
        </w:rPr>
        <w:t>万元，占本年收入的</w:t>
      </w:r>
      <w:r>
        <w:rPr>
          <w:rFonts w:ascii="仿宋" w:hAnsi="仿宋" w:eastAsia="仿宋" w:cs="仿宋_GB2312"/>
          <w:bCs/>
          <w:color w:val="000000"/>
          <w:kern w:val="0"/>
          <w:sz w:val="32"/>
          <w:szCs w:val="32"/>
          <w:highlight w:val="none"/>
        </w:rPr>
        <w:t>100</w:t>
      </w:r>
      <w:r>
        <w:rPr>
          <w:rFonts w:hint="eastAsia" w:ascii="仿宋" w:hAnsi="仿宋" w:eastAsia="仿宋" w:cs="仿宋_GB2312"/>
          <w:bCs/>
          <w:color w:val="000000"/>
          <w:kern w:val="0"/>
          <w:sz w:val="32"/>
          <w:szCs w:val="32"/>
          <w:highlight w:val="none"/>
        </w:rPr>
        <w:t>%，无上</w:t>
      </w:r>
      <w:r>
        <w:rPr>
          <w:rFonts w:ascii="仿宋" w:hAnsi="仿宋" w:eastAsia="仿宋" w:cs="仿宋_GB2312"/>
          <w:bCs/>
          <w:color w:val="000000"/>
          <w:kern w:val="0"/>
          <w:sz w:val="32"/>
          <w:szCs w:val="32"/>
          <w:highlight w:val="none"/>
        </w:rPr>
        <w:t>年结转经费和其他收入预算。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Cs/>
          <w:color w:val="000000"/>
          <w:kern w:val="0"/>
          <w:sz w:val="32"/>
          <w:szCs w:val="32"/>
          <w:highlight w:val="none"/>
          <w:lang w:val="en-US" w:eastAsia="zh-CN"/>
        </w:rPr>
      </w:pPr>
      <w:r>
        <w:rPr>
          <w:rFonts w:hint="eastAsia" w:ascii="仿宋" w:hAnsi="仿宋" w:eastAsia="仿宋" w:cs="仿宋_GB2312"/>
          <w:bCs/>
          <w:color w:val="000000"/>
          <w:kern w:val="0"/>
          <w:sz w:val="32"/>
          <w:szCs w:val="32"/>
          <w:highlight w:val="none"/>
          <w:lang w:eastAsia="zh-CN"/>
        </w:rPr>
        <w:t>收入</w:t>
      </w:r>
      <w:r>
        <w:rPr>
          <w:rFonts w:hint="eastAsia" w:ascii="仿宋" w:hAnsi="仿宋" w:eastAsia="仿宋" w:cs="仿宋_GB2312"/>
          <w:bCs/>
          <w:color w:val="000000"/>
          <w:kern w:val="0"/>
          <w:sz w:val="32"/>
          <w:szCs w:val="32"/>
          <w:highlight w:val="none"/>
          <w:lang w:val="en-US" w:eastAsia="zh-CN"/>
        </w:rPr>
        <w:t>增加</w:t>
      </w:r>
      <w:r>
        <w:rPr>
          <w:rFonts w:hint="eastAsia" w:ascii="仿宋" w:hAnsi="仿宋" w:eastAsia="仿宋" w:cs="仿宋_GB2312"/>
          <w:bCs/>
          <w:color w:val="000000"/>
          <w:kern w:val="0"/>
          <w:sz w:val="32"/>
          <w:szCs w:val="32"/>
          <w:highlight w:val="none"/>
          <w:lang w:eastAsia="zh-CN"/>
        </w:rPr>
        <w:t>原因：</w:t>
      </w:r>
      <w:r>
        <w:rPr>
          <w:rFonts w:hint="eastAsia" w:ascii="仿宋_GB2312" w:eastAsia="仿宋_GB2312"/>
          <w:sz w:val="32"/>
          <w:highlight w:val="none"/>
        </w:rPr>
        <w:t>经费拨款增加</w:t>
      </w:r>
      <w:r>
        <w:rPr>
          <w:rFonts w:hint="eastAsia" w:ascii="仿宋" w:hAnsi="仿宋" w:eastAsia="仿宋" w:cs="仿宋_GB2312"/>
          <w:bCs/>
          <w:color w:val="000000"/>
          <w:kern w:val="0"/>
          <w:sz w:val="32"/>
          <w:szCs w:val="32"/>
          <w:highlight w:val="none"/>
          <w:lang w:val="en-US" w:eastAsia="zh-CN"/>
        </w:rPr>
        <w:t>16</w:t>
      </w:r>
      <w:r>
        <w:rPr>
          <w:rFonts w:hint="eastAsia" w:ascii="仿宋_GB2312" w:eastAsia="仿宋_GB2312"/>
          <w:sz w:val="32"/>
          <w:highlight w:val="none"/>
        </w:rPr>
        <w:t>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_GB2312"/>
          <w:bCs/>
          <w:color w:val="000000"/>
          <w:kern w:val="0"/>
          <w:sz w:val="32"/>
          <w:szCs w:val="32"/>
          <w:highlight w:val="none"/>
          <w:lang w:val="en-US" w:eastAsia="zh-CN"/>
        </w:rPr>
      </w:pPr>
      <w:r>
        <w:rPr>
          <w:rFonts w:hint="eastAsia" w:ascii="楷体" w:hAnsi="楷体" w:eastAsia="楷体" w:cs="Helvetica"/>
          <w:b/>
          <w:bCs/>
          <w:color w:val="333333"/>
          <w:kern w:val="0"/>
          <w:sz w:val="32"/>
          <w:szCs w:val="32"/>
          <w:highlight w:val="none"/>
          <w:lang w:val="en-US" w:eastAsia="zh-CN"/>
        </w:rPr>
        <w:t>2.</w:t>
      </w:r>
      <w:r>
        <w:rPr>
          <w:rFonts w:hint="eastAsia" w:ascii="楷体" w:hAnsi="楷体" w:eastAsia="楷体" w:cs="Helvetica"/>
          <w:b/>
          <w:bCs/>
          <w:color w:val="333333"/>
          <w:kern w:val="0"/>
          <w:sz w:val="32"/>
          <w:szCs w:val="32"/>
          <w:highlight w:val="none"/>
        </w:rPr>
        <w:t>预算支出情况：</w:t>
      </w:r>
      <w:r>
        <w:rPr>
          <w:rFonts w:hint="eastAsia" w:ascii="仿宋" w:hAnsi="仿宋" w:eastAsia="仿宋" w:cs="仿宋_GB2312"/>
          <w:bCs/>
          <w:color w:val="000000"/>
          <w:kern w:val="0"/>
          <w:sz w:val="32"/>
          <w:szCs w:val="32"/>
          <w:highlight w:val="none"/>
        </w:rPr>
        <w:t>202</w:t>
      </w:r>
      <w:r>
        <w:rPr>
          <w:rFonts w:hint="eastAsia" w:ascii="仿宋" w:hAnsi="仿宋" w:eastAsia="仿宋" w:cs="仿宋_GB2312"/>
          <w:bCs/>
          <w:color w:val="000000"/>
          <w:kern w:val="0"/>
          <w:sz w:val="32"/>
          <w:szCs w:val="32"/>
          <w:highlight w:val="none"/>
          <w:lang w:val="en-US" w:eastAsia="zh-CN"/>
        </w:rPr>
        <w:t>3</w:t>
      </w:r>
      <w:r>
        <w:rPr>
          <w:rFonts w:hint="eastAsia" w:ascii="仿宋" w:hAnsi="仿宋" w:eastAsia="仿宋" w:cs="仿宋_GB2312"/>
          <w:bCs/>
          <w:color w:val="000000"/>
          <w:kern w:val="0"/>
          <w:sz w:val="32"/>
          <w:szCs w:val="32"/>
          <w:highlight w:val="none"/>
        </w:rPr>
        <w:t>年本年支出</w:t>
      </w:r>
      <w:r>
        <w:rPr>
          <w:rFonts w:hint="eastAsia" w:ascii="仿宋" w:hAnsi="仿宋" w:eastAsia="仿宋" w:cs="仿宋_GB2312"/>
          <w:bCs/>
          <w:color w:val="000000"/>
          <w:kern w:val="0"/>
          <w:sz w:val="32"/>
          <w:szCs w:val="32"/>
          <w:highlight w:val="none"/>
          <w:lang w:val="en-US" w:eastAsia="zh-CN"/>
        </w:rPr>
        <w:t>124</w:t>
      </w:r>
      <w:r>
        <w:rPr>
          <w:rFonts w:hint="eastAsia" w:ascii="仿宋" w:hAnsi="仿宋" w:eastAsia="仿宋" w:cs="仿宋_GB2312"/>
          <w:bCs/>
          <w:color w:val="000000"/>
          <w:kern w:val="0"/>
          <w:sz w:val="32"/>
          <w:szCs w:val="32"/>
          <w:highlight w:val="none"/>
        </w:rPr>
        <w:t>万元,比上年</w:t>
      </w:r>
      <w:r>
        <w:rPr>
          <w:rFonts w:hint="eastAsia" w:ascii="仿宋" w:hAnsi="仿宋" w:eastAsia="仿宋" w:cs="仿宋_GB2312"/>
          <w:bCs/>
          <w:color w:val="000000"/>
          <w:kern w:val="0"/>
          <w:sz w:val="32"/>
          <w:szCs w:val="32"/>
          <w:highlight w:val="none"/>
          <w:lang w:val="en-US" w:eastAsia="zh-CN"/>
        </w:rPr>
        <w:t>增加16</w:t>
      </w:r>
      <w:r>
        <w:rPr>
          <w:rFonts w:hint="eastAsia" w:ascii="仿宋" w:hAnsi="仿宋" w:eastAsia="仿宋" w:cs="仿宋_GB2312"/>
          <w:bCs/>
          <w:color w:val="000000"/>
          <w:kern w:val="0"/>
          <w:sz w:val="32"/>
          <w:szCs w:val="32"/>
          <w:highlight w:val="none"/>
        </w:rPr>
        <w:t>万</w:t>
      </w:r>
      <w:r>
        <w:rPr>
          <w:rFonts w:ascii="仿宋" w:hAnsi="仿宋" w:eastAsia="仿宋" w:cs="仿宋_GB2312"/>
          <w:bCs/>
          <w:color w:val="000000"/>
          <w:kern w:val="0"/>
          <w:sz w:val="32"/>
          <w:szCs w:val="32"/>
          <w:highlight w:val="none"/>
        </w:rPr>
        <w:t>元，</w:t>
      </w:r>
      <w:r>
        <w:rPr>
          <w:rFonts w:hint="eastAsia" w:ascii="仿宋" w:hAnsi="仿宋" w:eastAsia="仿宋" w:cs="仿宋_GB2312"/>
          <w:bCs/>
          <w:color w:val="000000"/>
          <w:kern w:val="0"/>
          <w:sz w:val="32"/>
          <w:szCs w:val="32"/>
          <w:highlight w:val="none"/>
          <w:lang w:val="en-US" w:eastAsia="zh-CN"/>
        </w:rPr>
        <w:t>增长14.8%</w:t>
      </w:r>
      <w:r>
        <w:rPr>
          <w:rFonts w:hint="eastAsia" w:ascii="仿宋" w:hAnsi="仿宋" w:eastAsia="仿宋" w:cs="仿宋_GB2312"/>
          <w:bCs/>
          <w:color w:val="000000"/>
          <w:kern w:val="0"/>
          <w:sz w:val="32"/>
          <w:szCs w:val="32"/>
          <w:highlight w:val="none"/>
        </w:rPr>
        <w:t>。其中，基本支出</w:t>
      </w:r>
      <w:r>
        <w:rPr>
          <w:rFonts w:hint="eastAsia" w:ascii="仿宋" w:hAnsi="仿宋" w:eastAsia="仿宋" w:cs="仿宋_GB2312"/>
          <w:bCs/>
          <w:color w:val="000000"/>
          <w:kern w:val="0"/>
          <w:sz w:val="32"/>
          <w:szCs w:val="32"/>
          <w:highlight w:val="none"/>
          <w:lang w:val="en-US" w:eastAsia="zh-CN"/>
        </w:rPr>
        <w:t>112</w:t>
      </w:r>
      <w:r>
        <w:rPr>
          <w:rFonts w:hint="eastAsia" w:ascii="仿宋" w:hAnsi="仿宋" w:eastAsia="仿宋" w:cs="仿宋_GB2312"/>
          <w:bCs/>
          <w:color w:val="000000"/>
          <w:kern w:val="0"/>
          <w:sz w:val="32"/>
          <w:szCs w:val="32"/>
          <w:highlight w:val="none"/>
        </w:rPr>
        <w:t>万元，占总支出的</w:t>
      </w:r>
      <w:r>
        <w:rPr>
          <w:rFonts w:hint="eastAsia" w:ascii="仿宋" w:hAnsi="仿宋" w:eastAsia="仿宋" w:cs="仿宋_GB2312"/>
          <w:bCs/>
          <w:color w:val="000000"/>
          <w:kern w:val="0"/>
          <w:sz w:val="32"/>
          <w:szCs w:val="32"/>
          <w:highlight w:val="none"/>
          <w:lang w:val="en-US" w:eastAsia="zh-CN"/>
        </w:rPr>
        <w:t>90.3</w:t>
      </w:r>
      <w:r>
        <w:rPr>
          <w:rFonts w:hint="eastAsia" w:ascii="仿宋" w:hAnsi="仿宋" w:eastAsia="仿宋" w:cs="仿宋_GB2312"/>
          <w:bCs/>
          <w:color w:val="000000"/>
          <w:kern w:val="0"/>
          <w:sz w:val="32"/>
          <w:szCs w:val="32"/>
          <w:highlight w:val="none"/>
        </w:rPr>
        <w:t>%；项目支出</w:t>
      </w:r>
      <w:r>
        <w:rPr>
          <w:rFonts w:hint="eastAsia" w:ascii="仿宋" w:hAnsi="仿宋" w:eastAsia="仿宋" w:cs="仿宋_GB2312"/>
          <w:bCs/>
          <w:color w:val="000000"/>
          <w:kern w:val="0"/>
          <w:sz w:val="32"/>
          <w:szCs w:val="32"/>
          <w:highlight w:val="none"/>
          <w:lang w:val="en-US" w:eastAsia="zh-CN"/>
        </w:rPr>
        <w:t>12</w:t>
      </w:r>
      <w:r>
        <w:rPr>
          <w:rFonts w:hint="eastAsia" w:ascii="仿宋" w:hAnsi="仿宋" w:eastAsia="仿宋" w:cs="仿宋_GB2312"/>
          <w:bCs/>
          <w:color w:val="000000"/>
          <w:kern w:val="0"/>
          <w:sz w:val="32"/>
          <w:szCs w:val="32"/>
          <w:highlight w:val="none"/>
        </w:rPr>
        <w:t>万元，占总支出的</w:t>
      </w:r>
      <w:r>
        <w:rPr>
          <w:rFonts w:hint="eastAsia" w:ascii="仿宋" w:hAnsi="仿宋" w:eastAsia="仿宋" w:cs="仿宋_GB2312"/>
          <w:bCs/>
          <w:color w:val="000000"/>
          <w:kern w:val="0"/>
          <w:sz w:val="32"/>
          <w:szCs w:val="32"/>
          <w:highlight w:val="none"/>
          <w:lang w:val="en-US" w:eastAsia="zh-CN"/>
        </w:rPr>
        <w:t>9.7</w:t>
      </w:r>
      <w:r>
        <w:rPr>
          <w:rFonts w:hint="eastAsia" w:ascii="仿宋" w:hAnsi="仿宋" w:eastAsia="仿宋" w:cs="仿宋_GB2312"/>
          <w:bCs/>
          <w:color w:val="000000"/>
          <w:kern w:val="0"/>
          <w:sz w:val="32"/>
          <w:szCs w:val="32"/>
          <w:highlight w:val="none"/>
        </w:rPr>
        <w:t>%。本年支</w:t>
      </w:r>
      <w:r>
        <w:rPr>
          <w:rFonts w:hint="eastAsia" w:ascii="仿宋" w:hAnsi="仿宋" w:eastAsia="仿宋" w:cs="仿宋_GB2312"/>
          <w:bCs/>
          <w:color w:val="000000"/>
          <w:kern w:val="0"/>
          <w:sz w:val="32"/>
          <w:szCs w:val="32"/>
        </w:rPr>
        <w:t>出构成为：一般公共服务支出</w:t>
      </w:r>
      <w:r>
        <w:rPr>
          <w:rFonts w:hint="eastAsia" w:ascii="仿宋" w:hAnsi="仿宋" w:eastAsia="仿宋" w:cs="仿宋_GB2312"/>
          <w:bCs/>
          <w:color w:val="000000"/>
          <w:kern w:val="0"/>
          <w:sz w:val="32"/>
          <w:szCs w:val="32"/>
          <w:lang w:val="en-US" w:eastAsia="zh-CN"/>
        </w:rPr>
        <w:t>116.2</w:t>
      </w:r>
      <w:r>
        <w:rPr>
          <w:rFonts w:hint="eastAsia" w:ascii="仿宋" w:hAnsi="仿宋" w:eastAsia="仿宋" w:cs="仿宋_GB2312"/>
          <w:bCs/>
          <w:color w:val="000000"/>
          <w:kern w:val="0"/>
          <w:sz w:val="32"/>
          <w:szCs w:val="32"/>
        </w:rPr>
        <w:t>万元，占本年支出</w:t>
      </w:r>
      <w:r>
        <w:rPr>
          <w:rFonts w:hint="eastAsia" w:ascii="仿宋" w:hAnsi="仿宋" w:eastAsia="仿宋" w:cs="仿宋_GB2312"/>
          <w:bCs/>
          <w:color w:val="000000"/>
          <w:kern w:val="0"/>
          <w:sz w:val="32"/>
          <w:szCs w:val="32"/>
          <w:lang w:val="en-US" w:eastAsia="zh-CN"/>
        </w:rPr>
        <w:t>93.7</w:t>
      </w:r>
      <w:r>
        <w:rPr>
          <w:rFonts w:hint="eastAsia" w:ascii="仿宋" w:hAnsi="仿宋" w:eastAsia="仿宋" w:cs="仿宋_GB2312"/>
          <w:bCs/>
          <w:color w:val="000000"/>
          <w:kern w:val="0"/>
          <w:sz w:val="32"/>
          <w:szCs w:val="32"/>
        </w:rPr>
        <w:t>%；社</w:t>
      </w:r>
      <w:r>
        <w:rPr>
          <w:rFonts w:hint="eastAsia" w:ascii="仿宋" w:hAnsi="仿宋" w:eastAsia="仿宋" w:cs="仿宋_GB2312"/>
          <w:bCs/>
          <w:color w:val="000000"/>
          <w:kern w:val="0"/>
          <w:sz w:val="32"/>
          <w:szCs w:val="32"/>
          <w:highlight w:val="none"/>
          <w:lang w:val="en-US" w:eastAsia="zh-CN"/>
        </w:rPr>
        <w:t>会保障和就业支出7.8万元，占本年支出6.37%。</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Cs/>
          <w:color w:val="000000"/>
          <w:kern w:val="0"/>
          <w:sz w:val="32"/>
          <w:szCs w:val="32"/>
          <w:highlight w:val="none"/>
          <w:lang w:val="en-US" w:eastAsia="zh-CN"/>
        </w:rPr>
      </w:pPr>
      <w:r>
        <w:rPr>
          <w:rFonts w:hint="eastAsia" w:ascii="仿宋" w:hAnsi="仿宋" w:eastAsia="仿宋" w:cs="仿宋_GB2312"/>
          <w:bCs/>
          <w:color w:val="000000"/>
          <w:kern w:val="0"/>
          <w:sz w:val="32"/>
          <w:szCs w:val="32"/>
          <w:highlight w:val="none"/>
          <w:lang w:val="en-US" w:eastAsia="zh-CN"/>
        </w:rPr>
        <w:t>支出增加原因：（1）基本工资调标与绩效的支出增加；（2）单位职业年金做实。</w:t>
      </w:r>
    </w:p>
    <w:p>
      <w:pPr>
        <w:keepNext w:val="0"/>
        <w:keepLines w:val="0"/>
        <w:pageBreakBefore w:val="0"/>
        <w:widowControl/>
        <w:kinsoku/>
        <w:wordWrap/>
        <w:overflowPunct/>
        <w:topLinePunct w:val="0"/>
        <w:autoSpaceDE/>
        <w:autoSpaceDN/>
        <w:bidi w:val="0"/>
        <w:adjustRightInd/>
        <w:snapToGrid/>
        <w:spacing w:line="560" w:lineRule="exact"/>
        <w:ind w:firstLine="321" w:firstLineChars="100"/>
        <w:textAlignment w:val="auto"/>
        <w:rPr>
          <w:rFonts w:ascii="黑体" w:hAnsi="黑体" w:eastAsia="黑体" w:cs="Helvetica"/>
          <w:b/>
          <w:bCs/>
          <w:color w:val="333333"/>
          <w:kern w:val="0"/>
          <w:sz w:val="32"/>
          <w:szCs w:val="32"/>
        </w:rPr>
      </w:pPr>
      <w:r>
        <w:rPr>
          <w:rFonts w:hint="eastAsia" w:ascii="仿宋" w:hAnsi="仿宋" w:eastAsia="仿宋" w:cs="Helvetica"/>
          <w:b/>
          <w:bCs/>
          <w:color w:val="333333"/>
          <w:kern w:val="0"/>
          <w:sz w:val="32"/>
          <w:szCs w:val="32"/>
        </w:rPr>
        <w:t>　</w:t>
      </w:r>
      <w:r>
        <w:rPr>
          <w:rFonts w:hint="eastAsia" w:ascii="黑体" w:hAnsi="黑体" w:eastAsia="黑体" w:cs="Helvetica"/>
          <w:b/>
          <w:bCs/>
          <w:color w:val="333333"/>
          <w:kern w:val="0"/>
          <w:sz w:val="32"/>
          <w:szCs w:val="32"/>
        </w:rPr>
        <w:t>四、机关运行经费安排情况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color w:val="000000"/>
          <w:sz w:val="32"/>
          <w:szCs w:val="32"/>
          <w:highlight w:val="none"/>
        </w:rPr>
        <w:t>202</w:t>
      </w:r>
      <w:r>
        <w:rPr>
          <w:rFonts w:hint="eastAsia" w:ascii="Times New Roman" w:hAnsi="Times New Roman" w:eastAsia="仿宋_GB2312" w:cs="Times New Roman"/>
          <w:bCs/>
          <w:color w:val="000000"/>
          <w:sz w:val="32"/>
          <w:szCs w:val="32"/>
          <w:highlight w:val="none"/>
          <w:lang w:val="en-US" w:eastAsia="zh-CN"/>
        </w:rPr>
        <w:t>3</w:t>
      </w:r>
      <w:r>
        <w:rPr>
          <w:rFonts w:ascii="Times New Roman" w:hAnsi="Times New Roman" w:eastAsia="仿宋_GB2312" w:cs="Times New Roman"/>
          <w:bCs/>
          <w:color w:val="000000"/>
          <w:sz w:val="32"/>
          <w:szCs w:val="32"/>
          <w:highlight w:val="none"/>
        </w:rPr>
        <w:t>年</w:t>
      </w:r>
      <w:r>
        <w:rPr>
          <w:rFonts w:ascii="Times New Roman" w:hAnsi="Times New Roman" w:eastAsia="仿宋_GB2312" w:cs="Times New Roman"/>
          <w:bCs/>
          <w:sz w:val="32"/>
          <w:szCs w:val="32"/>
          <w:highlight w:val="none"/>
        </w:rPr>
        <w:t>机关运行经费支出为</w:t>
      </w:r>
      <w:r>
        <w:rPr>
          <w:rFonts w:hint="eastAsia" w:ascii="Times New Roman" w:hAnsi="Times New Roman" w:eastAsia="仿宋_GB2312" w:cs="Times New Roman"/>
          <w:bCs/>
          <w:sz w:val="32"/>
          <w:szCs w:val="32"/>
          <w:highlight w:val="none"/>
          <w:lang w:val="en-US" w:eastAsia="zh-CN"/>
        </w:rPr>
        <w:t>18</w:t>
      </w:r>
      <w:r>
        <w:rPr>
          <w:rFonts w:ascii="Times New Roman" w:hAnsi="Times New Roman" w:eastAsia="仿宋_GB2312" w:cs="Times New Roman"/>
          <w:bCs/>
          <w:sz w:val="32"/>
          <w:szCs w:val="32"/>
          <w:highlight w:val="none"/>
        </w:rPr>
        <w:t>万元，与上年数对比减少</w:t>
      </w:r>
      <w:r>
        <w:rPr>
          <w:rFonts w:hint="eastAsia" w:ascii="Times New Roman" w:hAnsi="Times New Roman" w:eastAsia="仿宋_GB2312" w:cs="Times New Roman"/>
          <w:bCs/>
          <w:sz w:val="32"/>
          <w:szCs w:val="32"/>
          <w:highlight w:val="none"/>
          <w:lang w:val="en-US" w:eastAsia="zh-CN"/>
        </w:rPr>
        <w:t>3万，下降14.3</w:t>
      </w:r>
      <w:r>
        <w:rPr>
          <w:rFonts w:ascii="Times New Roman" w:hAnsi="Times New Roman" w:eastAsia="仿宋_GB2312" w:cs="Times New Roman"/>
          <w:bCs/>
          <w:sz w:val="32"/>
          <w:szCs w:val="32"/>
          <w:highlight w:val="none"/>
        </w:rPr>
        <w:t>%，原因是</w:t>
      </w:r>
      <w:r>
        <w:rPr>
          <w:rFonts w:hint="eastAsia" w:ascii="Times New Roman" w:hAnsi="Times New Roman" w:eastAsia="仿宋_GB2312" w:cs="Times New Roman"/>
          <w:bCs/>
          <w:sz w:val="32"/>
          <w:szCs w:val="32"/>
          <w:highlight w:val="none"/>
          <w:lang w:val="en-US" w:eastAsia="zh-CN"/>
        </w:rPr>
        <w:t>一名同志调入黄石分局</w:t>
      </w:r>
      <w:r>
        <w:rPr>
          <w:rFonts w:ascii="Times New Roman" w:hAnsi="Times New Roman" w:eastAsia="仿宋_GB2312" w:cs="Times New Roman"/>
          <w:bCs/>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Cs/>
          <w:color w:val="000000"/>
          <w:kern w:val="0"/>
          <w:sz w:val="32"/>
          <w:szCs w:val="32"/>
          <w:lang w:val="en-US" w:eastAsia="zh-CN"/>
        </w:rPr>
      </w:pPr>
      <w:r>
        <w:rPr>
          <w:rFonts w:hint="eastAsia" w:ascii="仿宋" w:hAnsi="仿宋" w:eastAsia="仿宋" w:cs="仿宋_GB2312"/>
          <w:bCs/>
          <w:color w:val="000000"/>
          <w:kern w:val="0"/>
          <w:sz w:val="32"/>
          <w:szCs w:val="32"/>
          <w:lang w:val="en-US" w:eastAsia="zh-CN"/>
        </w:rPr>
        <w:t>机关运行经费分项为：办公费3万元，印刷费1.8万元，电费1.2万元，邮电费0.72万元，物业管理费1.2万元，差旅费2.82万元，劳务费2万元，工会经费1.83万元，福利费0.25万元，其他交通费3.06万元，其他商品和服务支出0.12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cs="Arial"/>
          <w:color w:val="333333"/>
          <w:kern w:val="0"/>
          <w:sz w:val="32"/>
          <w:szCs w:val="32"/>
        </w:rPr>
      </w:pPr>
      <w:r>
        <w:rPr>
          <w:rFonts w:hint="eastAsia" w:ascii="黑体" w:hAnsi="黑体" w:eastAsia="黑体" w:cs="Helvetica"/>
          <w:b/>
          <w:bCs/>
          <w:color w:val="333333"/>
          <w:kern w:val="0"/>
          <w:sz w:val="32"/>
          <w:szCs w:val="32"/>
        </w:rPr>
        <w:t>五、一般公共预算“三公”经费及增减变化情况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年“三公”经费预算总额</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万元，与上年持平，具体明细如下：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w:t>
      </w:r>
      <w:r>
        <w:rPr>
          <w:rFonts w:hint="eastAsia" w:ascii="仿宋_GB2312" w:hAnsi="仿宋_GB2312" w:eastAsia="仿宋_GB2312" w:cs="仿宋_GB2312"/>
          <w:bCs/>
          <w:kern w:val="0"/>
          <w:sz w:val="32"/>
          <w:szCs w:val="32"/>
        </w:rPr>
        <w:t>费0万元，与上年持平。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Cs/>
          <w:kern w:val="0"/>
          <w:sz w:val="32"/>
          <w:szCs w:val="32"/>
        </w:rPr>
        <w:t>与上年持平</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3.公务用车购置及运行费0万元，与上年持平。我单位公务用车全部由</w:t>
      </w:r>
      <w:r>
        <w:rPr>
          <w:rFonts w:hint="eastAsia" w:ascii="仿宋_GB2312" w:hAnsi="仿宋_GB2312" w:eastAsia="仿宋_GB2312" w:cs="仿宋_GB2312"/>
          <w:sz w:val="32"/>
          <w:szCs w:val="32"/>
          <w:lang w:val="en-US" w:eastAsia="zh-CN"/>
        </w:rPr>
        <w:t>市统计</w:t>
      </w:r>
      <w:r>
        <w:rPr>
          <w:rFonts w:hint="eastAsia" w:ascii="仿宋_GB2312" w:hAnsi="仿宋_GB2312" w:eastAsia="仿宋_GB2312" w:cs="仿宋_GB2312"/>
          <w:sz w:val="32"/>
          <w:szCs w:val="32"/>
        </w:rPr>
        <w:t>局统一管理，统一核算，故没有安排公务用车运行费相关预算。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六、政府采购预算情况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Helvetica"/>
          <w:bCs/>
          <w:color w:val="333333"/>
          <w:kern w:val="0"/>
          <w:sz w:val="32"/>
          <w:szCs w:val="32"/>
        </w:rPr>
      </w:pPr>
      <w:r>
        <w:rPr>
          <w:rFonts w:hint="eastAsia" w:ascii="仿宋" w:hAnsi="仿宋" w:eastAsia="仿宋" w:cs="Helvetica"/>
          <w:bCs/>
          <w:color w:val="333333"/>
          <w:kern w:val="0"/>
          <w:sz w:val="32"/>
          <w:szCs w:val="32"/>
        </w:rPr>
        <w:t>我单位政府采购工作由省统计局统一管理，按照省财政厅要求办理政府采购业务，我单位未单独安排政府采购预算。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七、国有资产占用情况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Helvetica"/>
          <w:bCs/>
          <w:color w:val="333333"/>
          <w:kern w:val="0"/>
          <w:sz w:val="32"/>
          <w:szCs w:val="32"/>
        </w:rPr>
      </w:pPr>
      <w:r>
        <w:rPr>
          <w:rFonts w:hint="eastAsia" w:ascii="仿宋" w:hAnsi="仿宋" w:eastAsia="仿宋" w:cs="Helvetica"/>
          <w:bCs/>
          <w:color w:val="333333"/>
          <w:kern w:val="0"/>
          <w:sz w:val="32"/>
          <w:szCs w:val="32"/>
        </w:rPr>
        <w:t>本单位</w:t>
      </w:r>
      <w:r>
        <w:rPr>
          <w:rFonts w:ascii="仿宋" w:hAnsi="仿宋" w:eastAsia="仿宋" w:cs="Helvetica"/>
          <w:bCs/>
          <w:color w:val="333333"/>
          <w:kern w:val="0"/>
          <w:sz w:val="32"/>
          <w:szCs w:val="32"/>
        </w:rPr>
        <w:t>没有</w:t>
      </w:r>
      <w:r>
        <w:rPr>
          <w:rFonts w:hint="eastAsia" w:ascii="仿宋" w:hAnsi="仿宋" w:eastAsia="仿宋" w:cs="Helvetica"/>
          <w:bCs/>
          <w:color w:val="333333"/>
          <w:kern w:val="0"/>
          <w:sz w:val="32"/>
          <w:szCs w:val="32"/>
        </w:rPr>
        <w:t>单独</w:t>
      </w:r>
      <w:r>
        <w:rPr>
          <w:rFonts w:ascii="仿宋" w:hAnsi="仿宋" w:eastAsia="仿宋" w:cs="Helvetica"/>
          <w:bCs/>
          <w:color w:val="333333"/>
          <w:kern w:val="0"/>
          <w:sz w:val="32"/>
          <w:szCs w:val="32"/>
        </w:rPr>
        <w:t>核算国有资产</w:t>
      </w:r>
      <w:r>
        <w:rPr>
          <w:rFonts w:hint="eastAsia" w:ascii="仿宋" w:hAnsi="仿宋" w:eastAsia="仿宋" w:cs="Helvetica"/>
          <w:bCs/>
          <w:color w:val="333333"/>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八、重点项目绩效情况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我单位根据预算绩效管理的要求，认真组织开展项目支出绩效评价和单位整体支出绩效评价工作，并充分运用绩效评价结果。涉及我单位的项目有1个，一级项目经费为“全省统计监测与执法经费”</w:t>
      </w:r>
      <w:r>
        <w:rPr>
          <w:rFonts w:hint="eastAsia" w:ascii="仿宋" w:hAnsi="仿宋" w:eastAsia="仿宋" w:cs="Helvetica"/>
          <w:bCs/>
          <w:color w:val="333333"/>
          <w:kern w:val="0"/>
          <w:sz w:val="32"/>
          <w:szCs w:val="32"/>
          <w:lang w:eastAsia="zh-CN"/>
        </w:rPr>
        <w:t>，</w:t>
      </w:r>
      <w:r>
        <w:rPr>
          <w:rFonts w:hint="eastAsia" w:ascii="仿宋" w:hAnsi="仿宋" w:eastAsia="仿宋" w:cs="Helvetica"/>
          <w:bCs/>
          <w:color w:val="333333"/>
          <w:kern w:val="0"/>
          <w:sz w:val="32"/>
          <w:szCs w:val="32"/>
        </w:rPr>
        <w:t>二级项目经费为“全省统计执法专项经费”</w:t>
      </w:r>
      <w:r>
        <w:rPr>
          <w:rFonts w:hint="eastAsia" w:ascii="仿宋" w:hAnsi="仿宋" w:eastAsia="仿宋" w:cs="Helvetica"/>
          <w:bCs/>
          <w:color w:val="333333"/>
          <w:kern w:val="0"/>
          <w:sz w:val="32"/>
          <w:szCs w:val="32"/>
          <w:lang w:eastAsia="zh-CN"/>
        </w:rPr>
        <w:t>。</w:t>
      </w:r>
      <w:r>
        <w:rPr>
          <w:rFonts w:hint="eastAsia" w:ascii="仿宋" w:hAnsi="仿宋" w:eastAsia="仿宋" w:cs="Helvetica"/>
          <w:bCs/>
          <w:color w:val="333333"/>
          <w:kern w:val="0"/>
          <w:sz w:val="32"/>
          <w:szCs w:val="32"/>
        </w:rPr>
        <w:t>202</w:t>
      </w:r>
      <w:r>
        <w:rPr>
          <w:rFonts w:hint="eastAsia" w:ascii="仿宋" w:hAnsi="仿宋" w:eastAsia="仿宋" w:cs="Helvetica"/>
          <w:bCs/>
          <w:color w:val="333333"/>
          <w:kern w:val="0"/>
          <w:sz w:val="32"/>
          <w:szCs w:val="32"/>
          <w:lang w:val="en-US" w:eastAsia="zh-CN"/>
        </w:rPr>
        <w:t>3</w:t>
      </w:r>
      <w:r>
        <w:rPr>
          <w:rFonts w:hint="eastAsia" w:ascii="仿宋" w:hAnsi="仿宋" w:eastAsia="仿宋" w:cs="Helvetica"/>
          <w:bCs/>
          <w:color w:val="333333"/>
          <w:kern w:val="0"/>
          <w:sz w:val="32"/>
          <w:szCs w:val="32"/>
        </w:rPr>
        <w:t>年预算安排</w:t>
      </w:r>
      <w:r>
        <w:rPr>
          <w:rFonts w:hint="eastAsia" w:ascii="仿宋" w:hAnsi="仿宋" w:eastAsia="仿宋" w:cs="Helvetica"/>
          <w:bCs/>
          <w:color w:val="333333"/>
          <w:kern w:val="0"/>
          <w:sz w:val="32"/>
          <w:szCs w:val="32"/>
          <w:lang w:val="en-US" w:eastAsia="zh-CN"/>
        </w:rPr>
        <w:t>12</w:t>
      </w:r>
      <w:r>
        <w:rPr>
          <w:rFonts w:hint="eastAsia" w:ascii="仿宋" w:hAnsi="仿宋" w:eastAsia="仿宋" w:cs="Helvetica"/>
          <w:bCs/>
          <w:color w:val="333333"/>
          <w:kern w:val="0"/>
          <w:sz w:val="32"/>
          <w:szCs w:val="32"/>
        </w:rPr>
        <w:t>万元，全部为当年一般公共预算财政拨款。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全省统计执法专项经费”主要内容是：一是对执法骨干开展业务培训；二是开展统计执法宣传；三是数据管理系统的维护和升级；四是开展执法检查、督办以及数据质量抽查；五是其他应急执法检查和专项检查任务。20</w:t>
      </w:r>
      <w:r>
        <w:rPr>
          <w:rFonts w:hint="eastAsia" w:ascii="仿宋" w:hAnsi="仿宋" w:eastAsia="仿宋" w:cs="Helvetica"/>
          <w:bCs/>
          <w:color w:val="333333"/>
          <w:kern w:val="0"/>
          <w:sz w:val="32"/>
          <w:szCs w:val="32"/>
          <w:lang w:val="en-US" w:eastAsia="zh-CN"/>
        </w:rPr>
        <w:t>23</w:t>
      </w:r>
      <w:r>
        <w:rPr>
          <w:rFonts w:hint="eastAsia" w:ascii="仿宋" w:hAnsi="仿宋" w:eastAsia="仿宋" w:cs="Helvetica"/>
          <w:bCs/>
          <w:color w:val="333333"/>
          <w:kern w:val="0"/>
          <w:sz w:val="32"/>
          <w:szCs w:val="32"/>
        </w:rPr>
        <w:t>年度项目绩效总目标是：健全统计执法机制，强化统计基层基础工作建设，完成对统计执法和数据质量的核查，严肃整治在统计上弄虚作假的行为。开展</w:t>
      </w:r>
      <w:r>
        <w:rPr>
          <w:rFonts w:hint="eastAsia" w:ascii="仿宋" w:hAnsi="仿宋" w:eastAsia="仿宋" w:cs="Helvetica"/>
          <w:bCs/>
          <w:color w:val="333333"/>
          <w:kern w:val="0"/>
          <w:sz w:val="32"/>
          <w:szCs w:val="32"/>
          <w:lang w:eastAsia="zh-CN"/>
        </w:rPr>
        <w:t>全市</w:t>
      </w:r>
      <w:r>
        <w:rPr>
          <w:rFonts w:hint="eastAsia" w:ascii="仿宋" w:hAnsi="仿宋" w:eastAsia="仿宋" w:cs="Helvetica"/>
          <w:bCs/>
          <w:color w:val="333333"/>
          <w:kern w:val="0"/>
          <w:sz w:val="32"/>
          <w:szCs w:val="32"/>
        </w:rPr>
        <w:t>执法骨干业务培训，进行数据质量检查；进行执法检查，严肃查处违纪违法行为。全面提高我</w:t>
      </w:r>
      <w:r>
        <w:rPr>
          <w:rFonts w:hint="eastAsia" w:ascii="仿宋" w:hAnsi="仿宋" w:eastAsia="仿宋" w:cs="Helvetica"/>
          <w:bCs/>
          <w:color w:val="333333"/>
          <w:kern w:val="0"/>
          <w:sz w:val="32"/>
          <w:szCs w:val="32"/>
          <w:lang w:eastAsia="zh-CN"/>
        </w:rPr>
        <w:t>市</w:t>
      </w:r>
      <w:r>
        <w:rPr>
          <w:rFonts w:hint="eastAsia" w:ascii="仿宋" w:hAnsi="仿宋" w:eastAsia="仿宋" w:cs="Helvetica"/>
          <w:bCs/>
          <w:color w:val="333333"/>
          <w:kern w:val="0"/>
          <w:sz w:val="32"/>
          <w:szCs w:val="32"/>
        </w:rPr>
        <w:t>规上企业的数据质量，提供高质量的监测成果，提升监测分析水平。对规上企业统计数据监测数据库进行更新维护，完成统计数据监测分析报告，印制数据产品。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产出指标：印制数据产品完成率100%；数据库更新频率是每月更新；抽查企业数量≥4000家；数据质量检查频次为4次/年；统计普法宣传工作落实率100%；培训完成率100%；违法案件处理率100%；抽查市（县）比例≥20%；数据质量核查结果反馈落实率100%；结果公布时间为12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满意度指标：政府及社会公众满意度≥85%.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效益指标：统计行政处罚整改督导到位率100%；数据质量核查方式多样性≥4种；数据库运行稳定程度为稳定。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lang w:val="en-US" w:eastAsia="zh-CN"/>
        </w:rPr>
      </w:pPr>
      <w:r>
        <w:rPr>
          <w:rFonts w:hint="eastAsia" w:ascii="仿宋" w:hAnsi="仿宋" w:eastAsia="仿宋" w:cs="Helvetica"/>
          <w:bCs/>
          <w:color w:val="333333"/>
          <w:kern w:val="0"/>
          <w:sz w:val="32"/>
          <w:szCs w:val="32"/>
        </w:rPr>
        <w:t>1.对空表的说明：附表7一般公共预算“三公”经费支出表，本单位2023年无“三公”经费支出，此表为空表。附表8政府性基金预算支出表，本单位2023年无此类支出，此表为空表。</w:t>
      </w:r>
      <w:r>
        <w:rPr>
          <w:rFonts w:hint="eastAsia" w:ascii="仿宋" w:hAnsi="仿宋" w:eastAsia="仿宋" w:cs="Helvetica"/>
          <w:bCs/>
          <w:color w:val="333333"/>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2.其他情况的说明：本单位2023年无财政省本级专项支出、无一般性转移支付支出、无专项转移支付支出、无举借政府债务情况。</w:t>
      </w:r>
    </w:p>
    <w:p>
      <w:pPr>
        <w:keepNext w:val="0"/>
        <w:keepLines w:val="0"/>
        <w:pageBreakBefore w:val="0"/>
        <w:widowControl/>
        <w:kinsoku/>
        <w:wordWrap/>
        <w:overflowPunct/>
        <w:topLinePunct w:val="0"/>
        <w:autoSpaceDE/>
        <w:autoSpaceDN/>
        <w:bidi w:val="0"/>
        <w:adjustRightInd/>
        <w:snapToGrid/>
        <w:spacing w:line="560" w:lineRule="exact"/>
        <w:ind w:firstLine="660"/>
        <w:textAlignment w:val="auto"/>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十</w:t>
      </w:r>
      <w:r>
        <w:rPr>
          <w:rFonts w:ascii="黑体" w:hAnsi="黑体" w:eastAsia="黑体" w:cs="Helvetica"/>
          <w:b/>
          <w:bCs/>
          <w:color w:val="333333"/>
          <w:kern w:val="0"/>
          <w:sz w:val="32"/>
          <w:szCs w:val="32"/>
        </w:rPr>
        <w:t>、</w:t>
      </w:r>
      <w:r>
        <w:rPr>
          <w:rFonts w:hint="eastAsia" w:ascii="黑体" w:hAnsi="黑体" w:eastAsia="黑体" w:cs="Helvetica"/>
          <w:b/>
          <w:bCs/>
          <w:color w:val="333333"/>
          <w:kern w:val="0"/>
          <w:sz w:val="32"/>
          <w:szCs w:val="32"/>
        </w:rPr>
        <w:t>专业名词解释</w:t>
      </w:r>
    </w:p>
    <w:p>
      <w:pPr>
        <w:keepNext w:val="0"/>
        <w:keepLines w:val="0"/>
        <w:pageBreakBefore w:val="0"/>
        <w:widowControl/>
        <w:kinsoku/>
        <w:wordWrap/>
        <w:overflowPunct/>
        <w:topLinePunct w:val="0"/>
        <w:autoSpaceDE/>
        <w:autoSpaceDN/>
        <w:bidi w:val="0"/>
        <w:adjustRightInd/>
        <w:snapToGrid/>
        <w:spacing w:line="560" w:lineRule="exact"/>
        <w:ind w:firstLine="660"/>
        <w:textAlignment w:val="auto"/>
        <w:rPr>
          <w:rFonts w:ascii="黑体" w:hAnsi="黑体" w:eastAsia="黑体" w:cs="Helvetica"/>
          <w:b/>
          <w:bCs/>
          <w:color w:val="auto"/>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w:t>
      </w:r>
      <w:r>
        <w:rPr>
          <w:rFonts w:hint="eastAsia" w:ascii="仿宋_GB2312" w:hAnsi="仿宋_GB2312" w:eastAsia="仿宋_GB2312" w:cs="仿宋_GB2312"/>
          <w:bCs/>
          <w:color w:val="auto"/>
          <w:kern w:val="0"/>
          <w:sz w:val="32"/>
          <w:szCs w:val="32"/>
        </w:rPr>
        <w:t>购置费、办公用房水电费、办公用房取暖费、办公用房物业管理费、公务用车运行费以及其他费用。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color w:val="auto"/>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w:t>
      </w:r>
      <w:r>
        <w:rPr>
          <w:rFonts w:hint="eastAsia" w:ascii="仿宋_GB2312" w:hAnsi="仿宋_GB2312" w:eastAsia="仿宋_GB2312" w:cs="仿宋_GB2312"/>
          <w:bCs/>
          <w:kern w:val="0"/>
          <w:sz w:val="32"/>
          <w:szCs w:val="32"/>
        </w:rPr>
        <w:t>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 w:hAnsi="仿宋" w:eastAsia="仿宋" w:cs="Helvetica"/>
          <w:bCs/>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320" w:firstLineChars="100"/>
        <w:textAlignment w:val="auto"/>
        <w:rPr>
          <w:rFonts w:ascii="仿宋" w:hAnsi="仿宋" w:eastAsia="仿宋" w:cs="Helvetica"/>
          <w:bCs/>
          <w:color w:val="333333"/>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420"/>
        <w:textAlignment w:val="auto"/>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1NDg3YWFjZjU1NWI3MGYyZGNkNTJkMGE5ODExOTUifQ=="/>
  </w:docVars>
  <w:rsids>
    <w:rsidRoot w:val="0010135B"/>
    <w:rsid w:val="0007474A"/>
    <w:rsid w:val="000F1F99"/>
    <w:rsid w:val="0010135B"/>
    <w:rsid w:val="00104384"/>
    <w:rsid w:val="001212FB"/>
    <w:rsid w:val="001F06A4"/>
    <w:rsid w:val="002144B6"/>
    <w:rsid w:val="00295E97"/>
    <w:rsid w:val="0030520C"/>
    <w:rsid w:val="00322A49"/>
    <w:rsid w:val="003E7A9D"/>
    <w:rsid w:val="004503F7"/>
    <w:rsid w:val="004D0181"/>
    <w:rsid w:val="0051352A"/>
    <w:rsid w:val="00561456"/>
    <w:rsid w:val="0057763A"/>
    <w:rsid w:val="006368CD"/>
    <w:rsid w:val="00683170"/>
    <w:rsid w:val="00711536"/>
    <w:rsid w:val="0074268D"/>
    <w:rsid w:val="00767043"/>
    <w:rsid w:val="007827A9"/>
    <w:rsid w:val="007A559B"/>
    <w:rsid w:val="00803BBA"/>
    <w:rsid w:val="008226AF"/>
    <w:rsid w:val="00825892"/>
    <w:rsid w:val="0096313A"/>
    <w:rsid w:val="00AC2B06"/>
    <w:rsid w:val="00AC4FAF"/>
    <w:rsid w:val="00AE30B8"/>
    <w:rsid w:val="00AE7AD7"/>
    <w:rsid w:val="00B40BD2"/>
    <w:rsid w:val="00BD7A04"/>
    <w:rsid w:val="00C24A40"/>
    <w:rsid w:val="00C61789"/>
    <w:rsid w:val="00C906D2"/>
    <w:rsid w:val="00CC0D29"/>
    <w:rsid w:val="00D87A1D"/>
    <w:rsid w:val="00E25628"/>
    <w:rsid w:val="00E7467E"/>
    <w:rsid w:val="00EB36A7"/>
    <w:rsid w:val="00EB3CB1"/>
    <w:rsid w:val="00EF1D11"/>
    <w:rsid w:val="00F014E5"/>
    <w:rsid w:val="162C1D3C"/>
    <w:rsid w:val="18150E52"/>
    <w:rsid w:val="23FF4551"/>
    <w:rsid w:val="2ED453B2"/>
    <w:rsid w:val="3538296D"/>
    <w:rsid w:val="3A4F1102"/>
    <w:rsid w:val="4DAC48AD"/>
    <w:rsid w:val="56802643"/>
    <w:rsid w:val="71AD0654"/>
    <w:rsid w:val="737D5616"/>
    <w:rsid w:val="7B656F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2482</Words>
  <Characters>2623</Characters>
  <Lines>26</Lines>
  <Paragraphs>7</Paragraphs>
  <TotalTime>1</TotalTime>
  <ScaleCrop>false</ScaleCrop>
  <LinksUpToDate>false</LinksUpToDate>
  <CharactersWithSpaces>2661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2022-02-23T02:06:00Z</dcterms:created>
  <dc:creator>曹群豪(拟稿)</dc:creator>
  <cp:lastModifiedBy>予luckily</cp:lastModifiedBy>
  <cp:lastPrinted>2022-02-22T02:20:00Z</cp:lastPrinted>
  <dcterms:modified xsi:type="dcterms:W3CDTF">2023-02-22T01:56:45Z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C16231D6BF4A4676A342624370384CEA</vt:lpwstr>
  </property>
</Properties>
</file>