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hint="eastAsia" w:ascii="inherit" w:hAnsi="inherit" w:eastAsia="微软雅黑" w:cs="Helvetica"/>
          <w:color w:val="333333"/>
          <w:kern w:val="0"/>
          <w:sz w:val="45"/>
          <w:szCs w:val="45"/>
        </w:rPr>
      </w:pPr>
    </w:p>
    <w:p>
      <w:pPr>
        <w:widowControl/>
        <w:outlineLvl w:val="1"/>
        <w:rPr>
          <w:rFonts w:hint="eastAsia" w:ascii="inherit" w:hAnsi="inherit" w:eastAsia="微软雅黑" w:cs="Helvetica"/>
          <w:color w:val="333333"/>
          <w:kern w:val="0"/>
          <w:sz w:val="45"/>
          <w:szCs w:val="45"/>
        </w:rPr>
      </w:pPr>
    </w:p>
    <w:p>
      <w:pPr>
        <w:widowControl/>
        <w:spacing w:line="560" w:lineRule="exact"/>
        <w:jc w:val="center"/>
        <w:outlineLvl w:val="1"/>
        <w:rPr>
          <w:rFonts w:hint="default" w:ascii="方正小标宋简体" w:hAnsi="inherit" w:eastAsia="方正小标宋简体" w:cs="Helvetica"/>
          <w:color w:val="auto"/>
          <w:kern w:val="0"/>
          <w:sz w:val="44"/>
          <w:szCs w:val="44"/>
        </w:rPr>
      </w:pPr>
      <w:r>
        <w:rPr>
          <w:rFonts w:hint="eastAsia" w:ascii="黑体" w:hAnsi="黑体" w:eastAsia="黑体" w:cs="Helvetica"/>
          <w:color w:val="333333"/>
          <w:kern w:val="0"/>
          <w:sz w:val="44"/>
          <w:szCs w:val="44"/>
        </w:rPr>
        <w:t>湖北</w:t>
      </w:r>
      <w:r>
        <w:rPr>
          <w:rFonts w:ascii="黑体" w:hAnsi="黑体" w:eastAsia="黑体" w:cs="Helvetica"/>
          <w:color w:val="333333"/>
          <w:kern w:val="0"/>
          <w:sz w:val="44"/>
          <w:szCs w:val="44"/>
        </w:rPr>
        <w:t>省统计</w:t>
      </w:r>
      <w:r>
        <w:rPr>
          <w:rFonts w:hint="eastAsia" w:ascii="黑体" w:hAnsi="黑体" w:eastAsia="黑体" w:cs="Helvetica"/>
          <w:color w:val="333333"/>
          <w:kern w:val="0"/>
          <w:sz w:val="44"/>
          <w:szCs w:val="44"/>
        </w:rPr>
        <w:t>局</w:t>
      </w:r>
      <w:r>
        <w:rPr>
          <w:rFonts w:hint="eastAsia" w:ascii="黑体" w:hAnsi="黑体" w:eastAsia="黑体" w:cs="Helvetica"/>
          <w:color w:val="333333"/>
          <w:kern w:val="0"/>
          <w:sz w:val="44"/>
          <w:szCs w:val="44"/>
          <w:lang w:eastAsia="zh-CN"/>
        </w:rPr>
        <w:t>兴山</w:t>
      </w:r>
      <w:r>
        <w:rPr>
          <w:rFonts w:hint="default" w:ascii="黑体" w:hAnsi="黑体" w:eastAsia="黑体" w:cs="Helvetica"/>
          <w:color w:val="333333"/>
          <w:kern w:val="0"/>
          <w:sz w:val="44"/>
          <w:szCs w:val="44"/>
        </w:rPr>
        <w:t>经济社会调查队</w:t>
      </w:r>
    </w:p>
    <w:p>
      <w:pPr>
        <w:widowControl/>
        <w:spacing w:line="560" w:lineRule="exact"/>
        <w:jc w:val="center"/>
        <w:outlineLvl w:val="1"/>
        <w:rPr>
          <w:rFonts w:ascii="黑体" w:hAnsi="黑体" w:eastAsia="黑体" w:cs="Helvetica"/>
          <w:color w:val="333333"/>
          <w:kern w:val="0"/>
          <w:sz w:val="44"/>
          <w:szCs w:val="44"/>
        </w:rPr>
      </w:pPr>
      <w:r>
        <w:rPr>
          <w:rFonts w:hint="eastAsia" w:ascii="黑体" w:hAnsi="黑体" w:eastAsia="黑体" w:cs="Helvetica"/>
          <w:color w:val="333333"/>
          <w:kern w:val="0"/>
          <w:sz w:val="44"/>
          <w:szCs w:val="44"/>
        </w:rPr>
        <w:t>2023年单位预算公开情况</w:t>
      </w:r>
      <w:r>
        <w:rPr>
          <w:rFonts w:ascii="黑体" w:hAnsi="黑体" w:eastAsia="黑体" w:cs="Helvetica"/>
          <w:color w:val="333333"/>
          <w:kern w:val="0"/>
          <w:sz w:val="44"/>
          <w:szCs w:val="44"/>
        </w:rPr>
        <w:t>说明</w:t>
      </w:r>
    </w:p>
    <w:p>
      <w:pPr>
        <w:widowControl/>
        <w:rPr>
          <w:rFonts w:cs="Helvetica" w:asciiTheme="minorEastAsia" w:hAnsiTheme="minorEastAsia"/>
          <w:color w:val="333333"/>
          <w:kern w:val="0"/>
          <w:sz w:val="24"/>
          <w:szCs w:val="24"/>
        </w:rPr>
      </w:pPr>
      <w:r>
        <w:rPr>
          <w:rFonts w:hint="eastAsia" w:ascii="微软雅黑" w:hAnsi="微软雅黑" w:eastAsia="微软雅黑" w:cs="Helvetica"/>
          <w:color w:val="333333"/>
          <w:kern w:val="0"/>
          <w:szCs w:val="21"/>
        </w:rPr>
        <w:t xml:space="preserve">　　                         </w:t>
      </w:r>
      <w:r>
        <w:rPr>
          <w:rFonts w:hint="eastAsia" w:cs="Helvetica" w:asciiTheme="minorEastAsia" w:hAnsiTheme="minorEastAsia"/>
          <w:color w:val="333333"/>
          <w:kern w:val="0"/>
          <w:sz w:val="24"/>
          <w:szCs w:val="24"/>
        </w:rPr>
        <w:t xml:space="preserve"> </w:t>
      </w:r>
      <w:r>
        <w:rPr>
          <w:rFonts w:cs="Helvetica" w:asciiTheme="minorEastAsia" w:hAnsiTheme="minorEastAsia"/>
          <w:color w:val="333333"/>
          <w:kern w:val="0"/>
          <w:sz w:val="24"/>
          <w:szCs w:val="24"/>
        </w:rPr>
        <w:t xml:space="preserve">   </w:t>
      </w:r>
      <w:r>
        <w:rPr>
          <w:rFonts w:hint="eastAsia" w:cs="Helvetica" w:asciiTheme="minorEastAsia" w:hAnsiTheme="minorEastAsia"/>
          <w:color w:val="333333"/>
          <w:kern w:val="0"/>
          <w:sz w:val="24"/>
          <w:szCs w:val="24"/>
        </w:rPr>
        <w:t xml:space="preserve"> </w:t>
      </w:r>
    </w:p>
    <w:p>
      <w:pPr>
        <w:widowControl/>
        <w:spacing w:line="480" w:lineRule="exact"/>
        <w:jc w:val="left"/>
        <w:rPr>
          <w:rFonts w:cs="Helvetica" w:asciiTheme="minorEastAsia" w:hAnsiTheme="minorEastAsia"/>
          <w:color w:val="333333"/>
          <w:kern w:val="0"/>
          <w:sz w:val="24"/>
          <w:szCs w:val="24"/>
        </w:rPr>
      </w:pP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一</w:t>
      </w:r>
      <w:r>
        <w:rPr>
          <w:rFonts w:ascii="仿宋" w:hAnsi="仿宋" w:eastAsia="仿宋" w:cs="Helvetica"/>
          <w:b/>
          <w:color w:val="333333"/>
          <w:kern w:val="0"/>
          <w:sz w:val="32"/>
          <w:szCs w:val="32"/>
        </w:rPr>
        <w:t>、</w:t>
      </w:r>
      <w:r>
        <w:rPr>
          <w:rFonts w:hint="eastAsia" w:ascii="仿宋" w:hAnsi="仿宋" w:eastAsia="仿宋" w:cs="Helvetica"/>
          <w:b/>
          <w:color w:val="333333"/>
          <w:kern w:val="0"/>
          <w:sz w:val="32"/>
          <w:szCs w:val="32"/>
        </w:rPr>
        <w:t>单位主要职责</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二、机构设置情况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三、预算收支及增减变化情况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四、机关运行经费情况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五、一般公共预算“三公”经费及增减变化情况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六</w:t>
      </w:r>
      <w:r>
        <w:rPr>
          <w:rFonts w:ascii="仿宋" w:hAnsi="仿宋" w:eastAsia="仿宋" w:cs="Helvetica"/>
          <w:b/>
          <w:color w:val="333333"/>
          <w:kern w:val="0"/>
          <w:sz w:val="32"/>
          <w:szCs w:val="32"/>
        </w:rPr>
        <w:t>、</w:t>
      </w:r>
      <w:r>
        <w:rPr>
          <w:rFonts w:hint="eastAsia" w:ascii="仿宋" w:hAnsi="仿宋" w:eastAsia="仿宋" w:cs="Helvetica"/>
          <w:b/>
          <w:color w:val="333333"/>
          <w:kern w:val="0"/>
          <w:sz w:val="32"/>
          <w:szCs w:val="32"/>
        </w:rPr>
        <w:t>政府采购预算安排情况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七、国有资产占用情况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八、重点项目预算绩效情况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九、其他需要说明的情况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十</w:t>
      </w:r>
      <w:r>
        <w:rPr>
          <w:rFonts w:ascii="仿宋" w:hAnsi="仿宋" w:eastAsia="仿宋" w:cs="Helvetica"/>
          <w:b/>
          <w:color w:val="333333"/>
          <w:kern w:val="0"/>
          <w:sz w:val="32"/>
          <w:szCs w:val="32"/>
        </w:rPr>
        <w:t>、</w:t>
      </w:r>
      <w:r>
        <w:rPr>
          <w:rFonts w:hint="eastAsia" w:ascii="仿宋" w:hAnsi="仿宋" w:eastAsia="仿宋" w:cs="Helvetica"/>
          <w:b/>
          <w:bCs/>
          <w:color w:val="333333"/>
          <w:kern w:val="0"/>
          <w:sz w:val="32"/>
          <w:szCs w:val="32"/>
        </w:rPr>
        <w:t>专业</w:t>
      </w:r>
      <w:r>
        <w:rPr>
          <w:rFonts w:hint="eastAsia" w:ascii="仿宋" w:hAnsi="仿宋" w:eastAsia="仿宋" w:cs="Helvetica"/>
          <w:b/>
          <w:color w:val="333333"/>
          <w:kern w:val="0"/>
          <w:sz w:val="32"/>
          <w:szCs w:val="32"/>
        </w:rPr>
        <w:t>名词解释</w:t>
      </w:r>
    </w:p>
    <w:p>
      <w:pPr>
        <w:widowControl/>
        <w:spacing w:line="500" w:lineRule="exact"/>
        <w:rPr>
          <w:rFonts w:cs="Helvetica" w:asciiTheme="majorEastAsia" w:hAnsiTheme="majorEastAsia" w:eastAsiaTheme="majorEastAsia"/>
          <w:b/>
          <w:color w:val="333333"/>
          <w:kern w:val="0"/>
          <w:sz w:val="24"/>
          <w:szCs w:val="24"/>
        </w:rPr>
      </w:pPr>
      <w:r>
        <w:rPr>
          <w:rFonts w:hint="eastAsia" w:cs="Helvetica" w:asciiTheme="majorEastAsia" w:hAnsiTheme="majorEastAsia" w:eastAsiaTheme="majorEastAsia"/>
          <w:b/>
          <w:color w:val="333333"/>
          <w:kern w:val="0"/>
          <w:sz w:val="24"/>
          <w:szCs w:val="24"/>
        </w:rPr>
        <w:t>　　</w:t>
      </w:r>
    </w:p>
    <w:p>
      <w:pPr>
        <w:widowControl/>
        <w:spacing w:line="520" w:lineRule="exact"/>
        <w:ind w:firstLine="361" w:firstLineChars="150"/>
        <w:rPr>
          <w:rFonts w:cs="Helvetica" w:asciiTheme="minorEastAsia" w:hAnsiTheme="minorEastAsia"/>
          <w:b/>
          <w:color w:val="333333"/>
          <w:kern w:val="0"/>
          <w:sz w:val="24"/>
          <w:szCs w:val="24"/>
        </w:rPr>
      </w:pPr>
      <w:r>
        <w:rPr>
          <w:rFonts w:hint="eastAsia" w:cs="Helvetica" w:asciiTheme="minorEastAsia" w:hAnsiTheme="minorEastAsia"/>
          <w:b/>
          <w:color w:val="333333"/>
          <w:kern w:val="0"/>
          <w:sz w:val="24"/>
          <w:szCs w:val="24"/>
        </w:rPr>
        <w:t xml:space="preserve"> </w:t>
      </w: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rPr>
          <w:rFonts w:cs="Helvetica" w:asciiTheme="minorEastAsia" w:hAnsiTheme="minorEastAsia"/>
          <w:b/>
          <w:color w:val="333333"/>
          <w:kern w:val="0"/>
          <w:sz w:val="24"/>
          <w:szCs w:val="24"/>
        </w:rPr>
      </w:pPr>
    </w:p>
    <w:p>
      <w:pPr>
        <w:widowControl/>
        <w:spacing w:line="480" w:lineRule="auto"/>
        <w:ind w:firstLine="640" w:firstLineChars="200"/>
        <w:jc w:val="left"/>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一、单位主要职责</w:t>
      </w:r>
    </w:p>
    <w:p>
      <w:pPr>
        <w:widowControl/>
        <w:shd w:val="clear" w:color="auto" w:fill="FFFFFF"/>
        <w:spacing w:line="48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负责统计数据质量监测和核查；组织实施统计调查和监测工作；参与统计执法相关工作；参与大型国情国力调查等重大统计工作；协助地方统计局开展相关工作；完成省统计局、省统计局调查监测中心和宜昌调查监测分局交办的其他工作</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widowControl/>
        <w:shd w:val="clear" w:color="auto" w:fill="FFFFFF"/>
        <w:spacing w:line="480" w:lineRule="exact"/>
        <w:ind w:firstLine="640" w:firstLineChars="200"/>
        <w:jc w:val="left"/>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二、机构设置情况</w:t>
      </w:r>
    </w:p>
    <w:p>
      <w:pPr>
        <w:widowControl/>
        <w:spacing w:line="48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我单位设2个内设机构：调查监测一科、调查监测二科。</w:t>
      </w:r>
    </w:p>
    <w:p>
      <w:pPr>
        <w:widowControl/>
        <w:spacing w:line="480" w:lineRule="exact"/>
        <w:ind w:firstLine="640" w:firstLineChars="200"/>
        <w:jc w:val="left"/>
        <w:rPr>
          <w:rFonts w:ascii="仿宋" w:hAnsi="仿宋" w:eastAsia="仿宋" w:cs="Helvetica"/>
          <w:b w:val="0"/>
          <w:bCs/>
          <w:color w:val="000000" w:themeColor="text1"/>
          <w:kern w:val="0"/>
          <w:sz w:val="32"/>
          <w:szCs w:val="32"/>
          <w14:textFill>
            <w14:solidFill>
              <w14:schemeClr w14:val="tx1"/>
            </w14:solidFill>
          </w14:textFill>
        </w:rPr>
      </w:pPr>
      <w:r>
        <w:rPr>
          <w:rFonts w:hint="eastAsia" w:ascii="楷体" w:hAnsi="楷体" w:eastAsia="楷体" w:cs="Helvetica"/>
          <w:b w:val="0"/>
          <w:bCs/>
          <w:color w:val="000000" w:themeColor="text1"/>
          <w:kern w:val="0"/>
          <w:sz w:val="32"/>
          <w:szCs w:val="32"/>
          <w14:textFill>
            <w14:solidFill>
              <w14:schemeClr w14:val="tx1"/>
            </w14:solidFill>
          </w14:textFill>
        </w:rPr>
        <w:t>1.</w:t>
      </w:r>
      <w:r>
        <w:rPr>
          <w:rFonts w:hint="eastAsia" w:ascii="楷体" w:hAnsi="楷体" w:eastAsia="楷体" w:cs="Helvetica"/>
          <w:b w:val="0"/>
          <w:bCs/>
          <w:color w:val="000000" w:themeColor="text1"/>
          <w:kern w:val="0"/>
          <w:sz w:val="32"/>
          <w:szCs w:val="32"/>
          <w:lang w:eastAsia="zh-CN"/>
          <w14:textFill>
            <w14:solidFill>
              <w14:schemeClr w14:val="tx1"/>
            </w14:solidFill>
          </w14:textFill>
        </w:rPr>
        <w:t>调查监测一科的主要职责是</w:t>
      </w:r>
      <w:r>
        <w:rPr>
          <w:rFonts w:hint="eastAsia" w:ascii="楷体" w:hAnsi="楷体" w:eastAsia="楷体" w:cs="Helvetica"/>
          <w:b w:val="0"/>
          <w:bCs/>
          <w:color w:val="000000" w:themeColor="text1"/>
          <w:kern w:val="0"/>
          <w:sz w:val="32"/>
          <w:szCs w:val="32"/>
          <w14:textFill>
            <w14:solidFill>
              <w14:schemeClr w14:val="tx1"/>
            </w14:solidFill>
          </w14:textFill>
        </w:rPr>
        <w:t>：</w:t>
      </w:r>
      <w:r>
        <w:rPr>
          <w:rFonts w:hint="eastAsia" w:ascii="仿宋_GB2312" w:hAnsi="仿宋_GB2312" w:eastAsia="仿宋_GB2312" w:cs="仿宋_GB2312"/>
          <w:b w:val="0"/>
          <w:bCs/>
          <w:color w:val="000000" w:themeColor="text1"/>
          <w:kern w:val="0"/>
          <w:sz w:val="32"/>
          <w:szCs w:val="32"/>
          <w:highlight w:val="none"/>
          <w:lang w:eastAsia="zh-CN"/>
          <w14:textFill>
            <w14:solidFill>
              <w14:schemeClr w14:val="tx1"/>
            </w14:solidFill>
          </w14:textFill>
        </w:rPr>
        <w:t>负责统计数据质量监测和核查；负责调查队的日常管理和综合协调；开展相关统计调查和监测工作；参与统计执法相关工作；参与大型国情国力调查等重大统计工作；协助地方统计局开展相关工作；完成省统计局、</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省统计局调查监测中心和宜昌调查监测分局交办的其他工作</w:t>
      </w:r>
      <w:r>
        <w:rPr>
          <w:rFonts w:hint="eastAsia" w:ascii="仿宋" w:hAnsi="仿宋" w:eastAsia="仿宋" w:cs="Helvetica"/>
          <w:b w:val="0"/>
          <w:bCs/>
          <w:color w:val="000000" w:themeColor="text1"/>
          <w:kern w:val="0"/>
          <w:sz w:val="32"/>
          <w:szCs w:val="32"/>
          <w14:textFill>
            <w14:solidFill>
              <w14:schemeClr w14:val="tx1"/>
            </w14:solidFill>
          </w14:textFill>
        </w:rPr>
        <w:t>。</w:t>
      </w:r>
    </w:p>
    <w:p>
      <w:pPr>
        <w:widowControl/>
        <w:spacing w:line="480" w:lineRule="exact"/>
        <w:ind w:firstLine="640" w:firstLineChars="200"/>
        <w:jc w:val="left"/>
        <w:rPr>
          <w:rFonts w:ascii="仿宋" w:hAnsi="仿宋" w:eastAsia="仿宋" w:cs="Helvetica"/>
          <w:color w:val="000000" w:themeColor="text1"/>
          <w:kern w:val="0"/>
          <w:sz w:val="32"/>
          <w:szCs w:val="32"/>
          <w14:textFill>
            <w14:solidFill>
              <w14:schemeClr w14:val="tx1"/>
            </w14:solidFill>
          </w14:textFill>
        </w:rPr>
      </w:pPr>
      <w:r>
        <w:rPr>
          <w:rFonts w:ascii="楷体" w:hAnsi="楷体" w:eastAsia="楷体" w:cs="Helvetica"/>
          <w:b w:val="0"/>
          <w:bCs/>
          <w:color w:val="000000" w:themeColor="text1"/>
          <w:kern w:val="0"/>
          <w:sz w:val="32"/>
          <w:szCs w:val="32"/>
          <w14:textFill>
            <w14:solidFill>
              <w14:schemeClr w14:val="tx1"/>
            </w14:solidFill>
          </w14:textFill>
        </w:rPr>
        <w:t>2.</w:t>
      </w:r>
      <w:r>
        <w:rPr>
          <w:rFonts w:hint="eastAsia" w:ascii="楷体" w:hAnsi="楷体" w:eastAsia="楷体" w:cs="Helvetica"/>
          <w:b w:val="0"/>
          <w:bCs/>
          <w:color w:val="000000" w:themeColor="text1"/>
          <w:kern w:val="0"/>
          <w:sz w:val="32"/>
          <w:szCs w:val="32"/>
          <w:lang w:eastAsia="zh-CN"/>
          <w14:textFill>
            <w14:solidFill>
              <w14:schemeClr w14:val="tx1"/>
            </w14:solidFill>
          </w14:textFill>
        </w:rPr>
        <w:t>调查监测二科的主要职责是</w:t>
      </w:r>
      <w:r>
        <w:rPr>
          <w:rFonts w:hint="eastAsia" w:ascii="楷体" w:hAnsi="楷体" w:eastAsia="楷体" w:cs="Helvetica"/>
          <w:b w:val="0"/>
          <w:bCs/>
          <w:color w:val="000000" w:themeColor="text1"/>
          <w:kern w:val="0"/>
          <w:sz w:val="32"/>
          <w:szCs w:val="32"/>
          <w14:textFill>
            <w14:solidFill>
              <w14:schemeClr w14:val="tx1"/>
            </w14:solidFill>
          </w14:textFill>
        </w:rPr>
        <w:t>：</w:t>
      </w:r>
      <w:r>
        <w:rPr>
          <w:rFonts w:hint="eastAsia" w:ascii="仿宋_GB2312" w:hAnsi="仿宋_GB2312" w:eastAsia="仿宋_GB2312" w:cs="仿宋_GB2312"/>
          <w:b w:val="0"/>
          <w:bCs/>
          <w:color w:val="000000" w:themeColor="text1"/>
          <w:kern w:val="0"/>
          <w:sz w:val="32"/>
          <w:szCs w:val="32"/>
          <w:highlight w:val="none"/>
          <w:lang w:eastAsia="zh-CN"/>
          <w14:textFill>
            <w14:solidFill>
              <w14:schemeClr w14:val="tx1"/>
            </w14:solidFill>
          </w14:textFill>
        </w:rPr>
        <w:t>负责统计数据质量监测和核查；开展相关统计调查和监测</w:t>
      </w:r>
      <w:r>
        <w:rPr>
          <w:rFonts w:hint="eastAsia" w:ascii="仿宋_GB2312" w:hAnsi="仿宋_GB2312" w:eastAsia="仿宋_GB2312" w:cs="仿宋_GB2312"/>
          <w:b w:val="0"/>
          <w:bCs w:val="0"/>
          <w:color w:val="000000" w:themeColor="text1"/>
          <w:kern w:val="0"/>
          <w:sz w:val="32"/>
          <w:szCs w:val="32"/>
          <w:highlight w:val="none"/>
          <w:lang w:eastAsia="zh-CN"/>
          <w14:textFill>
            <w14:solidFill>
              <w14:schemeClr w14:val="tx1"/>
            </w14:solidFill>
          </w14:textFill>
        </w:rPr>
        <w:t>工作；开展统计执法相关工作；参与大型国情国力调查等重大统计工作；协助地方统计局开展相关工作；完成省统计局、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省统计局调查监测中心和宜昌调查监测分局交办的其他工作</w:t>
      </w:r>
      <w:r>
        <w:rPr>
          <w:rFonts w:hint="eastAsia" w:ascii="仿宋" w:hAnsi="仿宋" w:eastAsia="仿宋" w:cs="Helvetica"/>
          <w:color w:val="000000" w:themeColor="text1"/>
          <w:kern w:val="0"/>
          <w:sz w:val="32"/>
          <w:szCs w:val="32"/>
          <w14:textFill>
            <w14:solidFill>
              <w14:schemeClr w14:val="tx1"/>
            </w14:solidFill>
          </w14:textFill>
        </w:rPr>
        <w:t>。</w:t>
      </w:r>
    </w:p>
    <w:p>
      <w:pPr>
        <w:spacing w:line="560" w:lineRule="exact"/>
        <w:ind w:firstLine="640" w:firstLineChars="200"/>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三、预算收支及增减变化情况</w:t>
      </w:r>
    </w:p>
    <w:p>
      <w:pPr>
        <w:widowControl/>
        <w:spacing w:line="520" w:lineRule="exact"/>
        <w:ind w:firstLine="643" w:firstLineChars="200"/>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ascii="楷体" w:hAnsi="楷体" w:eastAsia="楷体" w:cs="Helvetica"/>
          <w:b/>
          <w:bCs/>
          <w:color w:val="000000" w:themeColor="text1"/>
          <w:kern w:val="0"/>
          <w:sz w:val="32"/>
          <w:szCs w:val="32"/>
          <w14:textFill>
            <w14:solidFill>
              <w14:schemeClr w14:val="tx1"/>
            </w14:solidFill>
          </w14:textFill>
        </w:rPr>
        <w:t>1.</w:t>
      </w:r>
      <w:r>
        <w:rPr>
          <w:rFonts w:hint="eastAsia" w:ascii="楷体" w:hAnsi="楷体" w:eastAsia="楷体" w:cs="Helvetica"/>
          <w:b/>
          <w:bCs/>
          <w:color w:val="000000" w:themeColor="text1"/>
          <w:kern w:val="0"/>
          <w:sz w:val="32"/>
          <w:szCs w:val="32"/>
          <w14:textFill>
            <w14:solidFill>
              <w14:schemeClr w14:val="tx1"/>
            </w14:solidFill>
          </w14:textFill>
        </w:rPr>
        <w:t>预算收入情况:</w:t>
      </w:r>
      <w:r>
        <w:rPr>
          <w:rFonts w:hint="eastAsia" w:ascii="仿宋_GB2312" w:hAnsi="仿宋_GB2312" w:eastAsia="仿宋_GB2312" w:cs="仿宋_GB2312"/>
          <w:bCs/>
          <w:color w:val="000000" w:themeColor="text1"/>
          <w:kern w:val="0"/>
          <w:sz w:val="32"/>
          <w:szCs w:val="32"/>
          <w14:textFill>
            <w14:solidFill>
              <w14:schemeClr w14:val="tx1"/>
            </w14:solidFill>
          </w14:textFill>
        </w:rPr>
        <w:t>2023年本年收入为</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57.24</w:t>
      </w:r>
      <w:r>
        <w:rPr>
          <w:rFonts w:hint="eastAsia" w:ascii="仿宋_GB2312" w:hAnsi="仿宋_GB2312" w:eastAsia="仿宋_GB2312" w:cs="仿宋_GB2312"/>
          <w:bCs/>
          <w:color w:val="000000" w:themeColor="text1"/>
          <w:kern w:val="0"/>
          <w:sz w:val="32"/>
          <w:szCs w:val="32"/>
          <w14:textFill>
            <w14:solidFill>
              <w14:schemeClr w14:val="tx1"/>
            </w14:solidFill>
          </w14:textFill>
        </w:rPr>
        <w:t>万元，比上年增加</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4.94</w:t>
      </w:r>
      <w:r>
        <w:rPr>
          <w:rFonts w:hint="eastAsia" w:ascii="仿宋_GB2312" w:hAnsi="仿宋_GB2312" w:eastAsia="仿宋_GB2312" w:cs="仿宋_GB2312"/>
          <w:bCs/>
          <w:color w:val="000000" w:themeColor="text1"/>
          <w:kern w:val="0"/>
          <w:sz w:val="32"/>
          <w:szCs w:val="32"/>
          <w14:textFill>
            <w14:solidFill>
              <w14:schemeClr w14:val="tx1"/>
            </w14:solidFill>
          </w14:textFill>
        </w:rPr>
        <w:t>万元，增长</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9.45%</w:t>
      </w:r>
      <w:r>
        <w:rPr>
          <w:rFonts w:hint="eastAsia" w:ascii="仿宋_GB2312" w:hAnsi="仿宋_GB2312" w:eastAsia="仿宋_GB2312" w:cs="仿宋_GB2312"/>
          <w:bCs/>
          <w:color w:val="000000" w:themeColor="text1"/>
          <w:kern w:val="0"/>
          <w:sz w:val="32"/>
          <w:szCs w:val="32"/>
          <w14:textFill>
            <w14:solidFill>
              <w14:schemeClr w14:val="tx1"/>
            </w14:solidFill>
          </w14:textFill>
        </w:rPr>
        <w:t>。其中，经费拨款</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57.24</w:t>
      </w:r>
      <w:r>
        <w:rPr>
          <w:rFonts w:hint="eastAsia" w:ascii="仿宋_GB2312" w:hAnsi="仿宋_GB2312" w:eastAsia="仿宋_GB2312" w:cs="仿宋_GB2312"/>
          <w:bCs/>
          <w:color w:val="000000" w:themeColor="text1"/>
          <w:kern w:val="0"/>
          <w:sz w:val="32"/>
          <w:szCs w:val="32"/>
          <w14:textFill>
            <w14:solidFill>
              <w14:schemeClr w14:val="tx1"/>
            </w14:solidFill>
          </w14:textFill>
        </w:rPr>
        <w:t>万元，占本年收入的100%，无上年结转经费和其他收入预算。</w:t>
      </w:r>
    </w:p>
    <w:p>
      <w:pPr>
        <w:widowControl/>
        <w:spacing w:line="520" w:lineRule="exact"/>
        <w:ind w:firstLine="640" w:firstLineChars="200"/>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收入增加原因：经费拨款增加</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4.94</w:t>
      </w:r>
      <w:r>
        <w:rPr>
          <w:rFonts w:hint="eastAsia" w:ascii="仿宋_GB2312" w:hAnsi="仿宋_GB2312" w:eastAsia="仿宋_GB2312" w:cs="仿宋_GB2312"/>
          <w:color w:val="000000" w:themeColor="text1"/>
          <w:sz w:val="32"/>
          <w14:textFill>
            <w14:solidFill>
              <w14:schemeClr w14:val="tx1"/>
            </w14:solidFill>
          </w14:textFill>
        </w:rPr>
        <w:t>万元。</w:t>
      </w:r>
    </w:p>
    <w:p>
      <w:pPr>
        <w:widowControl/>
        <w:spacing w:line="520" w:lineRule="exact"/>
        <w:ind w:firstLine="643" w:firstLineChars="200"/>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楷体" w:hAnsi="楷体" w:eastAsia="楷体" w:cs="Helvetica"/>
          <w:b/>
          <w:bCs/>
          <w:color w:val="000000" w:themeColor="text1"/>
          <w:kern w:val="0"/>
          <w:sz w:val="32"/>
          <w:szCs w:val="32"/>
          <w14:textFill>
            <w14:solidFill>
              <w14:schemeClr w14:val="tx1"/>
            </w14:solidFill>
          </w14:textFill>
        </w:rPr>
        <w:t>2</w:t>
      </w:r>
      <w:r>
        <w:rPr>
          <w:rFonts w:ascii="楷体" w:hAnsi="楷体" w:eastAsia="楷体" w:cs="Helvetica"/>
          <w:b/>
          <w:bCs/>
          <w:color w:val="000000" w:themeColor="text1"/>
          <w:kern w:val="0"/>
          <w:sz w:val="32"/>
          <w:szCs w:val="32"/>
          <w14:textFill>
            <w14:solidFill>
              <w14:schemeClr w14:val="tx1"/>
            </w14:solidFill>
          </w14:textFill>
        </w:rPr>
        <w:t>.</w:t>
      </w:r>
      <w:r>
        <w:rPr>
          <w:rFonts w:hint="eastAsia" w:ascii="楷体" w:hAnsi="楷体" w:eastAsia="楷体" w:cs="Helvetica"/>
          <w:b/>
          <w:bCs/>
          <w:color w:val="000000" w:themeColor="text1"/>
          <w:kern w:val="0"/>
          <w:sz w:val="32"/>
          <w:szCs w:val="32"/>
          <w14:textFill>
            <w14:solidFill>
              <w14:schemeClr w14:val="tx1"/>
            </w14:solidFill>
          </w14:textFill>
        </w:rPr>
        <w:t>预算支</w:t>
      </w:r>
      <w:r>
        <w:rPr>
          <w:rFonts w:ascii="楷体" w:hAnsi="楷体" w:eastAsia="楷体" w:cs="Helvetica"/>
          <w:b/>
          <w:bCs/>
          <w:color w:val="000000" w:themeColor="text1"/>
          <w:kern w:val="0"/>
          <w:sz w:val="32"/>
          <w:szCs w:val="32"/>
          <w14:textFill>
            <w14:solidFill>
              <w14:schemeClr w14:val="tx1"/>
            </w14:solidFill>
          </w14:textFill>
        </w:rPr>
        <w:t>出</w:t>
      </w:r>
      <w:r>
        <w:rPr>
          <w:rFonts w:hint="eastAsia" w:ascii="楷体" w:hAnsi="楷体" w:eastAsia="楷体" w:cs="Helvetica"/>
          <w:b/>
          <w:bCs/>
          <w:color w:val="000000" w:themeColor="text1"/>
          <w:kern w:val="0"/>
          <w:sz w:val="32"/>
          <w:szCs w:val="32"/>
          <w14:textFill>
            <w14:solidFill>
              <w14:schemeClr w14:val="tx1"/>
            </w14:solidFill>
          </w14:textFill>
        </w:rPr>
        <w:t>情况：</w:t>
      </w:r>
      <w:r>
        <w:rPr>
          <w:rFonts w:hint="eastAsia" w:ascii="仿宋_GB2312" w:hAnsi="仿宋_GB2312" w:eastAsia="仿宋_GB2312" w:cs="仿宋_GB2312"/>
          <w:bCs/>
          <w:color w:val="000000" w:themeColor="text1"/>
          <w:kern w:val="0"/>
          <w:sz w:val="32"/>
          <w:szCs w:val="32"/>
          <w14:textFill>
            <w14:solidFill>
              <w14:schemeClr w14:val="tx1"/>
            </w14:solidFill>
          </w14:textFill>
        </w:rPr>
        <w:t>2023年本年支出</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57.24</w:t>
      </w:r>
      <w:r>
        <w:rPr>
          <w:rFonts w:hint="eastAsia" w:ascii="仿宋_GB2312" w:hAnsi="仿宋_GB2312" w:eastAsia="仿宋_GB2312" w:cs="仿宋_GB2312"/>
          <w:bCs/>
          <w:color w:val="000000" w:themeColor="text1"/>
          <w:kern w:val="0"/>
          <w:sz w:val="32"/>
          <w:szCs w:val="32"/>
          <w14:textFill>
            <w14:solidFill>
              <w14:schemeClr w14:val="tx1"/>
            </w14:solidFill>
          </w14:textFill>
        </w:rPr>
        <w:t>万元,比上年增加</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4.94</w:t>
      </w:r>
      <w:r>
        <w:rPr>
          <w:rFonts w:hint="eastAsia" w:ascii="仿宋_GB2312" w:hAnsi="仿宋_GB2312" w:eastAsia="仿宋_GB2312" w:cs="仿宋_GB2312"/>
          <w:bCs/>
          <w:color w:val="000000" w:themeColor="text1"/>
          <w:kern w:val="0"/>
          <w:sz w:val="32"/>
          <w:szCs w:val="32"/>
          <w14:textFill>
            <w14:solidFill>
              <w14:schemeClr w14:val="tx1"/>
            </w14:solidFill>
          </w14:textFill>
        </w:rPr>
        <w:t>万元，增长</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9.45%。</w:t>
      </w:r>
      <w:r>
        <w:rPr>
          <w:rFonts w:hint="eastAsia" w:ascii="仿宋_GB2312" w:hAnsi="仿宋_GB2312" w:eastAsia="仿宋_GB2312" w:cs="仿宋_GB2312"/>
          <w:bCs/>
          <w:color w:val="000000" w:themeColor="text1"/>
          <w:kern w:val="0"/>
          <w:sz w:val="32"/>
          <w:szCs w:val="32"/>
          <w14:textFill>
            <w14:solidFill>
              <w14:schemeClr w14:val="tx1"/>
            </w14:solidFill>
          </w14:textFill>
        </w:rPr>
        <w:t>其中，基本支出</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52.24</w:t>
      </w:r>
      <w:r>
        <w:rPr>
          <w:rFonts w:hint="eastAsia" w:ascii="仿宋_GB2312" w:hAnsi="仿宋_GB2312" w:eastAsia="仿宋_GB2312" w:cs="仿宋_GB2312"/>
          <w:bCs/>
          <w:color w:val="000000" w:themeColor="text1"/>
          <w:kern w:val="0"/>
          <w:sz w:val="32"/>
          <w:szCs w:val="32"/>
          <w14:textFill>
            <w14:solidFill>
              <w14:schemeClr w14:val="tx1"/>
            </w14:solidFill>
          </w14:textFill>
        </w:rPr>
        <w:t>万元，占总支出的</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91.26%</w:t>
      </w:r>
      <w:r>
        <w:rPr>
          <w:rFonts w:hint="eastAsia" w:ascii="仿宋_GB2312" w:hAnsi="仿宋_GB2312" w:eastAsia="仿宋_GB2312" w:cs="仿宋_GB2312"/>
          <w:bCs/>
          <w:color w:val="000000" w:themeColor="text1"/>
          <w:kern w:val="0"/>
          <w:sz w:val="32"/>
          <w:szCs w:val="32"/>
          <w14:textFill>
            <w14:solidFill>
              <w14:schemeClr w14:val="tx1"/>
            </w14:solidFill>
          </w14:textFill>
        </w:rPr>
        <w:t>；项目支出</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5.00</w:t>
      </w:r>
      <w:r>
        <w:rPr>
          <w:rFonts w:hint="eastAsia" w:ascii="仿宋_GB2312" w:hAnsi="仿宋_GB2312" w:eastAsia="仿宋_GB2312" w:cs="仿宋_GB2312"/>
          <w:bCs/>
          <w:color w:val="000000" w:themeColor="text1"/>
          <w:kern w:val="0"/>
          <w:sz w:val="32"/>
          <w:szCs w:val="32"/>
          <w14:textFill>
            <w14:solidFill>
              <w14:schemeClr w14:val="tx1"/>
            </w14:solidFill>
          </w14:textFill>
        </w:rPr>
        <w:t>万元，占总支出的</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8.74%</w:t>
      </w:r>
      <w:r>
        <w:rPr>
          <w:rFonts w:hint="eastAsia" w:ascii="仿宋_GB2312" w:hAnsi="仿宋_GB2312" w:eastAsia="仿宋_GB2312" w:cs="仿宋_GB2312"/>
          <w:bCs/>
          <w:color w:val="000000" w:themeColor="text1"/>
          <w:kern w:val="0"/>
          <w:sz w:val="32"/>
          <w:szCs w:val="32"/>
          <w14:textFill>
            <w14:solidFill>
              <w14:schemeClr w14:val="tx1"/>
            </w14:solidFill>
          </w14:textFill>
        </w:rPr>
        <w:t>。本年支出构成为：一般公共服务支出</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43.07</w:t>
      </w:r>
      <w:r>
        <w:rPr>
          <w:rFonts w:hint="eastAsia" w:ascii="仿宋_GB2312" w:hAnsi="仿宋_GB2312" w:eastAsia="仿宋_GB2312" w:cs="仿宋_GB2312"/>
          <w:bCs/>
          <w:color w:val="000000" w:themeColor="text1"/>
          <w:kern w:val="0"/>
          <w:sz w:val="32"/>
          <w:szCs w:val="32"/>
          <w14:textFill>
            <w14:solidFill>
              <w14:schemeClr w14:val="tx1"/>
            </w14:solidFill>
          </w14:textFill>
        </w:rPr>
        <w:t>万元，占本年支出</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75.24%</w:t>
      </w:r>
      <w:r>
        <w:rPr>
          <w:rFonts w:hint="eastAsia" w:ascii="仿宋_GB2312" w:hAnsi="仿宋_GB2312" w:eastAsia="仿宋_GB2312" w:cs="仿宋_GB2312"/>
          <w:bCs/>
          <w:color w:val="000000" w:themeColor="text1"/>
          <w:kern w:val="0"/>
          <w:sz w:val="32"/>
          <w:szCs w:val="32"/>
          <w14:textFill>
            <w14:solidFill>
              <w14:schemeClr w14:val="tx1"/>
            </w14:solidFill>
          </w14:textFill>
        </w:rPr>
        <w:t>；社会保障和就业支出</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10.86</w:t>
      </w:r>
      <w:r>
        <w:rPr>
          <w:rFonts w:hint="eastAsia" w:ascii="仿宋_GB2312" w:hAnsi="仿宋_GB2312" w:eastAsia="仿宋_GB2312" w:cs="仿宋_GB2312"/>
          <w:bCs/>
          <w:color w:val="000000" w:themeColor="text1"/>
          <w:kern w:val="0"/>
          <w:sz w:val="32"/>
          <w:szCs w:val="32"/>
          <w14:textFill>
            <w14:solidFill>
              <w14:schemeClr w14:val="tx1"/>
            </w14:solidFill>
          </w14:textFill>
        </w:rPr>
        <w:t>万元，占本年支出</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18.97%</w:t>
      </w:r>
      <w:r>
        <w:rPr>
          <w:rFonts w:hint="eastAsia" w:ascii="仿宋_GB2312" w:hAnsi="仿宋_GB2312" w:eastAsia="仿宋_GB2312" w:cs="仿宋_GB2312"/>
          <w:bCs/>
          <w:color w:val="000000" w:themeColor="text1"/>
          <w:kern w:val="0"/>
          <w:sz w:val="32"/>
          <w:szCs w:val="32"/>
          <w14:textFill>
            <w14:solidFill>
              <w14:schemeClr w14:val="tx1"/>
            </w14:solidFill>
          </w14:textFill>
        </w:rPr>
        <w:t>；住房保障支出</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3.31</w:t>
      </w:r>
      <w:r>
        <w:rPr>
          <w:rFonts w:hint="eastAsia" w:ascii="仿宋_GB2312" w:hAnsi="仿宋_GB2312" w:eastAsia="仿宋_GB2312" w:cs="仿宋_GB2312"/>
          <w:bCs/>
          <w:color w:val="000000" w:themeColor="text1"/>
          <w:kern w:val="0"/>
          <w:sz w:val="32"/>
          <w:szCs w:val="32"/>
          <w14:textFill>
            <w14:solidFill>
              <w14:schemeClr w14:val="tx1"/>
            </w14:solidFill>
          </w14:textFill>
        </w:rPr>
        <w:t>万元，占本年支出</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5.79%</w:t>
      </w:r>
      <w:r>
        <w:rPr>
          <w:rFonts w:hint="eastAsia" w:ascii="仿宋_GB2312" w:hAnsi="仿宋_GB2312" w:eastAsia="仿宋_GB2312" w:cs="仿宋_GB2312"/>
          <w:bCs/>
          <w:color w:val="000000" w:themeColor="text1"/>
          <w:kern w:val="0"/>
          <w:sz w:val="32"/>
          <w:szCs w:val="32"/>
          <w14:textFill>
            <w14:solidFill>
              <w14:schemeClr w14:val="tx1"/>
            </w14:solidFill>
          </w14:textFill>
        </w:rPr>
        <w:t>。</w:t>
      </w:r>
    </w:p>
    <w:p>
      <w:pPr>
        <w:pStyle w:val="5"/>
        <w:widowControl/>
        <w:spacing w:before="0" w:beforeAutospacing="0" w:after="0" w:afterAutospacing="0"/>
        <w:ind w:firstLine="640" w:firstLineChars="200"/>
        <w:jc w:val="both"/>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14:textFill>
            <w14:solidFill>
              <w14:schemeClr w14:val="tx1"/>
            </w14:solidFill>
          </w14:textFill>
        </w:rPr>
        <w:t>支出增加原因：（1）2023年基本支出比上年增加</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5.94万</w:t>
      </w:r>
      <w:r>
        <w:rPr>
          <w:rFonts w:hint="eastAsia" w:ascii="仿宋_GB2312" w:hAnsi="仿宋_GB2312" w:eastAsia="仿宋_GB2312" w:cs="仿宋_GB2312"/>
          <w:color w:val="000000" w:themeColor="text1"/>
          <w:kern w:val="2"/>
          <w:sz w:val="32"/>
          <w14:textFill>
            <w14:solidFill>
              <w14:schemeClr w14:val="tx1"/>
            </w14:solidFill>
          </w14:textFill>
        </w:rPr>
        <w:t>元，主要是</w:t>
      </w:r>
      <w:r>
        <w:rPr>
          <w:rFonts w:hint="eastAsia" w:ascii="仿宋_GB2312" w:hAnsi="仿宋_GB2312" w:eastAsia="仿宋_GB2312" w:cs="仿宋_GB2312"/>
          <w:color w:val="000000" w:themeColor="text1"/>
          <w:kern w:val="2"/>
          <w:sz w:val="32"/>
          <w:lang w:eastAsia="zh-CN"/>
          <w14:textFill>
            <w14:solidFill>
              <w14:schemeClr w14:val="tx1"/>
            </w14:solidFill>
          </w14:textFill>
        </w:rPr>
        <w:t>人员退休、职业年金做实使人员经费增加</w:t>
      </w:r>
      <w:r>
        <w:rPr>
          <w:rFonts w:hint="eastAsia" w:ascii="仿宋_GB2312" w:hAnsi="仿宋_GB2312" w:eastAsia="仿宋_GB2312" w:cs="仿宋_GB2312"/>
          <w:color w:val="000000" w:themeColor="text1"/>
          <w:kern w:val="2"/>
          <w:sz w:val="32"/>
          <w14:textFill>
            <w14:solidFill>
              <w14:schemeClr w14:val="tx1"/>
            </w14:solidFill>
          </w14:textFill>
        </w:rPr>
        <w:t>；</w:t>
      </w:r>
      <w:bookmarkStart w:id="0" w:name="_GoBack"/>
      <w:bookmarkEnd w:id="0"/>
      <w:r>
        <w:rPr>
          <w:rFonts w:hint="eastAsia" w:ascii="仿宋_GB2312" w:hAnsi="仿宋_GB2312" w:eastAsia="仿宋_GB2312" w:cs="仿宋_GB2312"/>
          <w:color w:val="000000" w:themeColor="text1"/>
          <w:kern w:val="2"/>
          <w:sz w:val="32"/>
          <w14:textFill>
            <w14:solidFill>
              <w14:schemeClr w14:val="tx1"/>
            </w14:solidFill>
          </w14:textFill>
        </w:rPr>
        <w:t>（2）2023年项目支出比上年</w:t>
      </w:r>
      <w:r>
        <w:rPr>
          <w:rFonts w:hint="eastAsia" w:ascii="仿宋_GB2312" w:hAnsi="仿宋_GB2312" w:eastAsia="仿宋_GB2312" w:cs="仿宋_GB2312"/>
          <w:color w:val="000000" w:themeColor="text1"/>
          <w:kern w:val="2"/>
          <w:sz w:val="32"/>
          <w:lang w:eastAsia="zh-CN"/>
          <w14:textFill>
            <w14:solidFill>
              <w14:schemeClr w14:val="tx1"/>
            </w14:solidFill>
          </w14:textFill>
        </w:rPr>
        <w:t>减少</w:t>
      </w:r>
      <w:r>
        <w:rPr>
          <w:rFonts w:hint="eastAsia" w:ascii="仿宋_GB2312" w:hAnsi="仿宋_GB2312" w:eastAsia="仿宋_GB2312" w:cs="仿宋_GB2312"/>
          <w:color w:val="000000" w:themeColor="text1"/>
          <w:kern w:val="2"/>
          <w:sz w:val="32"/>
          <w:lang w:val="en-US" w:eastAsia="zh-CN"/>
          <w14:textFill>
            <w14:solidFill>
              <w14:schemeClr w14:val="tx1"/>
            </w14:solidFill>
          </w14:textFill>
        </w:rPr>
        <w:t>1.00万元，</w:t>
      </w:r>
      <w:r>
        <w:rPr>
          <w:rFonts w:hint="eastAsia" w:ascii="仿宋_GB2312" w:hAnsi="仿宋_GB2312" w:eastAsia="仿宋_GB2312" w:cs="仿宋_GB2312"/>
          <w:color w:val="000000" w:themeColor="text1"/>
          <w:kern w:val="2"/>
          <w:sz w:val="32"/>
          <w14:textFill>
            <w14:solidFill>
              <w14:schemeClr w14:val="tx1"/>
            </w14:solidFill>
          </w14:textFill>
        </w:rPr>
        <w:t>主要是</w:t>
      </w:r>
      <w:r>
        <w:rPr>
          <w:rFonts w:hint="eastAsia" w:ascii="仿宋_GB2312" w:hAnsi="仿宋_GB2312" w:eastAsia="仿宋_GB2312" w:cs="仿宋_GB2312"/>
          <w:b w:val="0"/>
          <w:bCs/>
          <w:color w:val="000000" w:themeColor="text1"/>
          <w:kern w:val="0"/>
          <w:sz w:val="32"/>
          <w:szCs w:val="32"/>
          <w:lang w:eastAsia="zh-CN"/>
          <w14:textFill>
            <w14:solidFill>
              <w14:schemeClr w14:val="tx1"/>
            </w14:solidFill>
          </w14:textFill>
        </w:rPr>
        <w:t>按照过紧日子的要求，提高工作效率，减少项目支出</w:t>
      </w:r>
      <w:r>
        <w:rPr>
          <w:rFonts w:hint="eastAsia" w:ascii="仿宋_GB2312" w:hAnsi="仿宋_GB2312" w:eastAsia="仿宋_GB2312" w:cs="仿宋_GB2312"/>
          <w:bCs/>
          <w:color w:val="000000" w:themeColor="text1"/>
          <w:sz w:val="32"/>
          <w:szCs w:val="32"/>
          <w14:textFill>
            <w14:solidFill>
              <w14:schemeClr w14:val="tx1"/>
            </w14:solidFill>
          </w14:textFill>
        </w:rPr>
        <w:t>。</w:t>
      </w:r>
    </w:p>
    <w:p>
      <w:pPr>
        <w:widowControl/>
        <w:spacing w:line="520" w:lineRule="exact"/>
        <w:ind w:firstLine="320" w:firstLineChars="100"/>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　四、机关运行经费情况</w:t>
      </w:r>
    </w:p>
    <w:p>
      <w:pPr>
        <w:widowControl/>
        <w:spacing w:line="520" w:lineRule="exact"/>
        <w:ind w:firstLine="640" w:firstLineChars="200"/>
        <w:rPr>
          <w:rFonts w:hint="eastAsia" w:ascii="仿宋_GB2312" w:eastAsia="仿宋_GB2312" w:hAnsiTheme="minorHAnsi" w:cstheme="minorBidi"/>
          <w:color w:val="000000" w:themeColor="text1"/>
          <w:kern w:val="2"/>
          <w:sz w:val="32"/>
          <w:szCs w:val="24"/>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24"/>
          <w:lang w:val="en-US" w:eastAsia="zh-CN" w:bidi="ar-SA"/>
          <w14:textFill>
            <w14:solidFill>
              <w14:schemeClr w14:val="tx1"/>
            </w14:solidFill>
          </w14:textFill>
        </w:rPr>
        <w:t>2023年运行经费预算总额为6.00万元，全部为商品和服务支出，日常公用支出与上年持平。</w:t>
      </w:r>
    </w:p>
    <w:p>
      <w:pPr>
        <w:widowControl/>
        <w:spacing w:line="520" w:lineRule="exact"/>
        <w:ind w:firstLine="640" w:firstLineChars="200"/>
        <w:rPr>
          <w:rFonts w:hint="eastAsia" w:ascii="仿宋_GB2312" w:eastAsia="仿宋_GB2312" w:hAnsiTheme="minorHAnsi" w:cstheme="minorBidi"/>
          <w:color w:val="000000" w:themeColor="text1"/>
          <w:kern w:val="2"/>
          <w:sz w:val="32"/>
          <w:szCs w:val="24"/>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24"/>
          <w:lang w:val="en-US" w:eastAsia="zh-CN" w:bidi="ar-SA"/>
          <w14:textFill>
            <w14:solidFill>
              <w14:schemeClr w14:val="tx1"/>
            </w14:solidFill>
          </w14:textFill>
        </w:rPr>
        <w:t>机关运行经费分项为：办公费0.86万元，印刷费0.24万元，水费0.03万元，电费0.34万元，邮电费0.01万元，差旅费0.35万元，福利费0.81万元，其他交通费用2.16万元，其他商品和服务支出1.20万元。</w:t>
      </w:r>
    </w:p>
    <w:p>
      <w:pPr>
        <w:widowControl/>
        <w:spacing w:line="520" w:lineRule="exact"/>
        <w:ind w:firstLine="640" w:firstLineChars="200"/>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五、一般公共预算“三公”经费及增减变化情况</w:t>
      </w:r>
    </w:p>
    <w:p>
      <w:pPr>
        <w:widowControl/>
        <w:spacing w:line="520" w:lineRule="exact"/>
        <w:ind w:firstLine="640" w:firstLineChars="200"/>
        <w:jc w:val="left"/>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2023年“三公”经费预算总额0万元，与上年持平，明细如下：</w:t>
      </w:r>
    </w:p>
    <w:p>
      <w:pPr>
        <w:widowControl/>
        <w:spacing w:line="520" w:lineRule="exact"/>
        <w:ind w:firstLine="640" w:firstLineChars="200"/>
        <w:jc w:val="left"/>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1</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因公出国（境）费0万元，与上年持平。</w:t>
      </w:r>
    </w:p>
    <w:p>
      <w:pPr>
        <w:widowControl/>
        <w:spacing w:line="520" w:lineRule="exact"/>
        <w:ind w:firstLine="640" w:firstLineChars="200"/>
        <w:jc w:val="left"/>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2</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公务接待费0万元，与上年持平。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Arial"/>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3</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公务用车购置及运行费0万元，与上年持平。我单位无公务用车。</w:t>
      </w:r>
    </w:p>
    <w:p>
      <w:pPr>
        <w:widowControl/>
        <w:spacing w:line="520" w:lineRule="exact"/>
        <w:ind w:firstLine="640" w:firstLineChars="200"/>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六、政府采购预算</w:t>
      </w:r>
      <w:r>
        <w:rPr>
          <w:rFonts w:hint="eastAsia" w:ascii="黑体" w:hAnsi="黑体" w:eastAsia="黑体" w:cs="黑体"/>
          <w:b w:val="0"/>
          <w:bCs/>
          <w:color w:val="000000" w:themeColor="text1"/>
          <w:kern w:val="0"/>
          <w:sz w:val="32"/>
          <w:szCs w:val="32"/>
          <w:lang w:eastAsia="zh-CN"/>
          <w14:textFill>
            <w14:solidFill>
              <w14:schemeClr w14:val="tx1"/>
            </w14:solidFill>
          </w14:textFill>
        </w:rPr>
        <w:t>安排</w:t>
      </w:r>
      <w:r>
        <w:rPr>
          <w:rFonts w:hint="eastAsia" w:ascii="黑体" w:hAnsi="黑体" w:eastAsia="黑体" w:cs="黑体"/>
          <w:b w:val="0"/>
          <w:bCs/>
          <w:color w:val="000000" w:themeColor="text1"/>
          <w:kern w:val="0"/>
          <w:sz w:val="32"/>
          <w:szCs w:val="32"/>
          <w14:textFill>
            <w14:solidFill>
              <w14:schemeClr w14:val="tx1"/>
            </w14:solidFill>
          </w14:textFill>
        </w:rPr>
        <w:t>情况</w:t>
      </w:r>
    </w:p>
    <w:p>
      <w:pPr>
        <w:widowControl/>
        <w:spacing w:line="520" w:lineRule="exact"/>
        <w:ind w:firstLine="640" w:firstLineChars="200"/>
        <w:rPr>
          <w:rFonts w:ascii="仿宋" w:hAnsi="仿宋" w:eastAsia="仿宋" w:cs="Helvetica"/>
          <w:bCs/>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本单位政府采购工作由省统计局统一管理，按照省财政要求办理政府采购业务，我单位未单独安排政府采购预算</w:t>
      </w:r>
      <w:r>
        <w:rPr>
          <w:rFonts w:hint="eastAsia" w:ascii="仿宋" w:hAnsi="仿宋" w:eastAsia="仿宋" w:cs="Helvetica"/>
          <w:bCs/>
          <w:color w:val="000000" w:themeColor="text1"/>
          <w:kern w:val="0"/>
          <w:sz w:val="32"/>
          <w:szCs w:val="32"/>
          <w14:textFill>
            <w14:solidFill>
              <w14:schemeClr w14:val="tx1"/>
            </w14:solidFill>
          </w14:textFill>
        </w:rPr>
        <w:t>。</w:t>
      </w:r>
    </w:p>
    <w:p>
      <w:pPr>
        <w:widowControl/>
        <w:spacing w:line="520" w:lineRule="exact"/>
        <w:ind w:firstLine="640" w:firstLineChars="200"/>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七、国有资产占用情况</w:t>
      </w:r>
    </w:p>
    <w:p>
      <w:pPr>
        <w:widowControl/>
        <w:spacing w:line="520" w:lineRule="exact"/>
        <w:ind w:firstLine="640" w:firstLineChars="200"/>
        <w:rPr>
          <w:rFonts w:ascii="仿宋" w:hAnsi="仿宋" w:eastAsia="仿宋" w:cs="Helvetica"/>
          <w:bCs/>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我单位未单独核算国有资产。</w:t>
      </w:r>
    </w:p>
    <w:p>
      <w:pPr>
        <w:widowControl/>
        <w:spacing w:line="520" w:lineRule="exact"/>
        <w:ind w:firstLine="640" w:firstLineChars="200"/>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八、重点项目</w:t>
      </w:r>
      <w:r>
        <w:rPr>
          <w:rFonts w:hint="eastAsia" w:ascii="黑体" w:hAnsi="黑体" w:eastAsia="黑体" w:cs="黑体"/>
          <w:b w:val="0"/>
          <w:bCs/>
          <w:color w:val="000000" w:themeColor="text1"/>
          <w:kern w:val="0"/>
          <w:sz w:val="32"/>
          <w:szCs w:val="32"/>
          <w:lang w:eastAsia="zh-CN"/>
          <w14:textFill>
            <w14:solidFill>
              <w14:schemeClr w14:val="tx1"/>
            </w14:solidFill>
          </w14:textFill>
        </w:rPr>
        <w:t>预算</w:t>
      </w:r>
      <w:r>
        <w:rPr>
          <w:rFonts w:hint="eastAsia" w:ascii="黑体" w:hAnsi="黑体" w:eastAsia="黑体" w:cs="黑体"/>
          <w:b w:val="0"/>
          <w:bCs/>
          <w:color w:val="000000" w:themeColor="text1"/>
          <w:kern w:val="0"/>
          <w:sz w:val="32"/>
          <w:szCs w:val="32"/>
          <w14:textFill>
            <w14:solidFill>
              <w14:schemeClr w14:val="tx1"/>
            </w14:solidFill>
          </w14:textFill>
        </w:rPr>
        <w:t>绩效情况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“全省统计执法专项经费”主要内容是：</w:t>
      </w:r>
      <w:r>
        <w:rPr>
          <w:rFonts w:hint="eastAsia" w:ascii="仿宋_GB2312" w:hAnsi="仿宋_GB2312" w:eastAsia="仿宋_GB2312" w:cs="仿宋_GB2312"/>
          <w:b/>
          <w:bCs w:val="0"/>
          <w:color w:val="000000" w:themeColor="text1"/>
          <w:kern w:val="0"/>
          <w:sz w:val="32"/>
          <w:szCs w:val="32"/>
          <w:lang w:eastAsia="zh-CN"/>
          <w14:textFill>
            <w14:solidFill>
              <w14:schemeClr w14:val="tx1"/>
            </w14:solidFill>
          </w14:textFill>
        </w:rPr>
        <w:t>一是</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开展执法检查、督办以及数据质量核查；</w:t>
      </w:r>
      <w:r>
        <w:rPr>
          <w:rFonts w:hint="eastAsia" w:ascii="仿宋_GB2312" w:hAnsi="仿宋_GB2312" w:eastAsia="仿宋_GB2312" w:cs="仿宋_GB2312"/>
          <w:b/>
          <w:bCs w:val="0"/>
          <w:color w:val="000000" w:themeColor="text1"/>
          <w:kern w:val="0"/>
          <w:sz w:val="32"/>
          <w:szCs w:val="32"/>
          <w:lang w:eastAsia="zh-CN"/>
          <w14:textFill>
            <w14:solidFill>
              <w14:schemeClr w14:val="tx1"/>
            </w14:solidFill>
          </w14:textFill>
        </w:rPr>
        <w:t>二是</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开展统计执法宣传；</w:t>
      </w:r>
      <w:r>
        <w:rPr>
          <w:rFonts w:hint="eastAsia" w:ascii="仿宋_GB2312" w:hAnsi="仿宋_GB2312" w:eastAsia="仿宋_GB2312" w:cs="仿宋_GB2312"/>
          <w:b/>
          <w:bCs w:val="0"/>
          <w:color w:val="000000" w:themeColor="text1"/>
          <w:kern w:val="0"/>
          <w:sz w:val="32"/>
          <w:szCs w:val="32"/>
          <w:lang w:eastAsia="zh-CN"/>
          <w14:textFill>
            <w14:solidFill>
              <w14:schemeClr w14:val="tx1"/>
            </w14:solidFill>
          </w14:textFill>
        </w:rPr>
        <w:t>三是</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其他应急执法检查和专项检查任务。</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2023年预算安排5万元，全部为当年一般公共预算财政拨款。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202</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年度项目绩效总目标是：健全统计执法机制，强化统计基层基础工作建设，落实执法业务培训，完成全县地方统计调查数据的质量监测和核查工作。</w:t>
      </w:r>
    </w:p>
    <w:p>
      <w:pPr>
        <w:widowControl/>
        <w:spacing w:line="560" w:lineRule="exact"/>
        <w:ind w:firstLine="640"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产出指标：</w:t>
      </w:r>
      <w:r>
        <w:rPr>
          <w:rFonts w:hint="eastAsia" w:ascii="仿宋_GB2312" w:hAnsi="仿宋_GB2312" w:eastAsia="仿宋_GB2312" w:cs="仿宋_GB2312"/>
          <w:bCs/>
          <w:color w:val="000000" w:themeColor="text1"/>
          <w:kern w:val="0"/>
          <w:sz w:val="32"/>
          <w:szCs w:val="32"/>
          <w:highlight w:val="none"/>
          <w:lang w:eastAsia="zh-CN"/>
          <w14:textFill>
            <w14:solidFill>
              <w14:schemeClr w14:val="tx1"/>
            </w14:solidFill>
          </w14:textFill>
        </w:rPr>
        <w:t>“四下”企业核查数</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35家；</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数据质量</w:t>
      </w:r>
      <w:r>
        <w:rPr>
          <w:rFonts w:hint="eastAsia" w:ascii="仿宋_GB2312" w:hAnsi="仿宋_GB2312" w:eastAsia="仿宋_GB2312" w:cs="仿宋_GB2312"/>
          <w:bCs/>
          <w:color w:val="000000" w:themeColor="text1"/>
          <w:kern w:val="0"/>
          <w:sz w:val="32"/>
          <w:szCs w:val="32"/>
          <w:highlight w:val="none"/>
          <w:lang w:eastAsia="zh-CN"/>
          <w14:textFill>
            <w14:solidFill>
              <w14:schemeClr w14:val="tx1"/>
            </w14:solidFill>
          </w14:textFill>
        </w:rPr>
        <w:t>检</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查频次</w:t>
      </w:r>
      <w:r>
        <w:rPr>
          <w:rFonts w:hint="eastAsia" w:ascii="仿宋_GB2312" w:hAnsi="仿宋_GB2312" w:eastAsia="仿宋_GB2312" w:cs="仿宋_GB2312"/>
          <w:bCs/>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4次；</w:t>
      </w:r>
      <w:r>
        <w:rPr>
          <w:rFonts w:hint="eastAsia" w:ascii="仿宋_GB2312" w:hAnsi="仿宋_GB2312" w:eastAsia="仿宋_GB2312" w:cs="仿宋_GB2312"/>
          <w:bCs/>
          <w:color w:val="000000" w:themeColor="text1"/>
          <w:kern w:val="0"/>
          <w:sz w:val="32"/>
          <w:szCs w:val="32"/>
          <w:highlight w:val="none"/>
          <w:lang w:eastAsia="zh-CN"/>
          <w14:textFill>
            <w14:solidFill>
              <w14:schemeClr w14:val="tx1"/>
            </w14:solidFill>
          </w14:textFill>
        </w:rPr>
        <w:t>统计监测执法培训次数≥</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1次</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办公用品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采购验收通过率</w:t>
      </w:r>
      <w:r>
        <w:rPr>
          <w:rFonts w:hint="eastAsia" w:ascii="仿宋_GB2312" w:hAnsi="仿宋_GB2312" w:eastAsia="仿宋_GB2312" w:cs="仿宋_GB2312"/>
          <w:color w:val="000000" w:themeColor="text1"/>
          <w:sz w:val="32"/>
          <w:szCs w:val="32"/>
          <w:highlight w:val="none"/>
          <w14:textFill>
            <w14:solidFill>
              <w14:schemeClr w14:val="tx1"/>
            </w14:solidFill>
          </w14:textFill>
        </w:rPr>
        <w:t>100%</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w:t>
      </w:r>
    </w:p>
    <w:p>
      <w:pPr>
        <w:widowControl/>
        <w:spacing w:line="560" w:lineRule="exact"/>
        <w:ind w:firstLine="640" w:firstLineChars="200"/>
        <w:rPr>
          <w:rFonts w:hint="eastAsia" w:ascii="仿宋_GB2312" w:eastAsia="仿宋_GB2312"/>
          <w:color w:val="000000" w:themeColor="text1"/>
          <w:sz w:val="32"/>
          <w:lang w:val="en-US" w:eastAsia="zh-CN"/>
          <w14:textFill>
            <w14:solidFill>
              <w14:schemeClr w14:val="tx1"/>
            </w14:solidFill>
          </w14:textFill>
        </w:rPr>
      </w:pPr>
      <w:r>
        <w:rPr>
          <w:rFonts w:hint="eastAsia" w:ascii="仿宋_GB2312" w:eastAsia="仿宋_GB2312"/>
          <w:color w:val="000000" w:themeColor="text1"/>
          <w:sz w:val="32"/>
          <w:lang w:eastAsia="zh-CN"/>
          <w14:textFill>
            <w14:solidFill>
              <w14:schemeClr w14:val="tx1"/>
            </w14:solidFill>
          </w14:textFill>
        </w:rPr>
        <w:t>满意度指标：政府部门及社会公众满意度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85%。</w:t>
      </w:r>
    </w:p>
    <w:p>
      <w:pPr>
        <w:widowControl/>
        <w:spacing w:line="560" w:lineRule="exact"/>
        <w:ind w:firstLine="640" w:firstLineChars="200"/>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九、其他需要说明的情况</w:t>
      </w:r>
    </w:p>
    <w:p>
      <w:pPr>
        <w:widowControl/>
        <w:spacing w:line="56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1.对空表的说明：附表7一般公共预算“三公”经费支出表，本单位2023年无“三公”经费支出，此表为空表。附表8政府性基金预算支出表，本单位2023年无此类支出，此表为空表。</w:t>
      </w:r>
    </w:p>
    <w:p>
      <w:pPr>
        <w:widowControl/>
        <w:spacing w:line="56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2.其他情况的说明：本单位2023年无财政省本级专项支出、无一般性转移支付支出、无专项转移支付支出、无举借政府债务情况。</w:t>
      </w:r>
    </w:p>
    <w:p>
      <w:pPr>
        <w:widowControl/>
        <w:spacing w:line="560" w:lineRule="exact"/>
        <w:ind w:firstLine="640" w:firstLineChars="200"/>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十、专业名词解释</w:t>
      </w:r>
    </w:p>
    <w:p>
      <w:pPr>
        <w:widowControl/>
        <w:spacing w:line="520" w:lineRule="exact"/>
        <w:ind w:firstLine="660"/>
        <w:rPr>
          <w:rFonts w:ascii="黑体" w:hAnsi="黑体" w:eastAsia="黑体" w:cs="Helvetica"/>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1．机关运行经费：</w:t>
      </w:r>
      <w:r>
        <w:rPr>
          <w:rFonts w:hint="eastAsia" w:ascii="仿宋_GB2312" w:hAnsi="仿宋_GB2312" w:eastAsia="仿宋_GB2312" w:cs="仿宋_GB2312"/>
          <w:bCs/>
          <w:color w:val="000000" w:themeColor="text1"/>
          <w:kern w:val="0"/>
          <w:sz w:val="32"/>
          <w:szCs w:val="32"/>
          <w14:textFill>
            <w14:solidFill>
              <w14:schemeClr w14:val="tx1"/>
            </w14:solidFill>
          </w14:textFill>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运行费</w:t>
      </w:r>
      <w:r>
        <w:rPr>
          <w:rFonts w:hint="eastAsia" w:ascii="仿宋_GB2312" w:hAnsi="仿宋_GB2312" w:eastAsia="仿宋_GB2312" w:cs="仿宋_GB2312"/>
          <w:bCs/>
          <w:color w:val="000000" w:themeColor="text1"/>
          <w:kern w:val="0"/>
          <w:sz w:val="32"/>
          <w:szCs w:val="32"/>
          <w14:textFill>
            <w14:solidFill>
              <w14:schemeClr w14:val="tx1"/>
            </w14:solidFill>
          </w14:textFill>
        </w:rPr>
        <w:t>以及其他费用。</w:t>
      </w:r>
    </w:p>
    <w:p>
      <w:pPr>
        <w:widowControl/>
        <w:spacing w:line="560" w:lineRule="exact"/>
        <w:ind w:firstLine="643" w:firstLineChars="200"/>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2．“三公”经费：</w:t>
      </w:r>
      <w:r>
        <w:rPr>
          <w:rFonts w:hint="eastAsia" w:ascii="仿宋_GB2312" w:hAnsi="仿宋_GB2312" w:eastAsia="仿宋_GB2312" w:cs="仿宋_GB2312"/>
          <w:bCs/>
          <w:color w:val="000000" w:themeColor="text1"/>
          <w:kern w:val="0"/>
          <w:sz w:val="32"/>
          <w:szCs w:val="32"/>
          <w14:textFill>
            <w14:solidFill>
              <w14:schemeClr w14:val="tx1"/>
            </w14:solidFill>
          </w14:textFill>
        </w:rPr>
        <w:t>指使用一般公共预算财政拨款安排的因公出国（境）费、公务用车购置及</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运行费</w:t>
      </w:r>
      <w:r>
        <w:rPr>
          <w:rFonts w:hint="eastAsia" w:ascii="仿宋_GB2312" w:hAnsi="仿宋_GB2312" w:eastAsia="仿宋_GB2312" w:cs="仿宋_GB2312"/>
          <w:bCs/>
          <w:color w:val="000000" w:themeColor="text1"/>
          <w:kern w:val="0"/>
          <w:sz w:val="32"/>
          <w:szCs w:val="32"/>
          <w14:textFill>
            <w14:solidFill>
              <w14:schemeClr w14:val="tx1"/>
            </w14:solidFill>
          </w14:textFill>
        </w:rPr>
        <w:t>和公务接待费。其中，因公出国（境）费用反映单位公务出国（境）的国际旅费、国外城市间交通费、住宿费、伙食费、培训费、公杂费等支出；公务用车购置及</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运行费</w:t>
      </w:r>
      <w:r>
        <w:rPr>
          <w:rFonts w:hint="eastAsia" w:ascii="仿宋_GB2312" w:hAnsi="仿宋_GB2312" w:eastAsia="仿宋_GB2312" w:cs="仿宋_GB2312"/>
          <w:bCs/>
          <w:color w:val="000000" w:themeColor="text1"/>
          <w:kern w:val="0"/>
          <w:sz w:val="32"/>
          <w:szCs w:val="32"/>
          <w14:textFill>
            <w14:solidFill>
              <w14:schemeClr w14:val="tx1"/>
            </w14:solidFill>
          </w14:textFill>
        </w:rPr>
        <w:t>反映单位公务用车车辆购置支出（含车辆购置税、牌照费）、燃料费、维修费、过桥过路费、保险费、安全奖励费用等支出；公务接待费反映单位按规定开支的各类公务接待（含外宾接待）费用。</w:t>
      </w:r>
    </w:p>
    <w:p>
      <w:pPr>
        <w:widowControl/>
        <w:spacing w:line="560" w:lineRule="exact"/>
        <w:ind w:firstLine="643" w:firstLineChars="200"/>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3．政府采购：</w:t>
      </w:r>
      <w:r>
        <w:rPr>
          <w:rFonts w:hint="eastAsia" w:ascii="仿宋_GB2312" w:hAnsi="仿宋_GB2312" w:eastAsia="仿宋_GB2312" w:cs="仿宋_GB2312"/>
          <w:bCs/>
          <w:color w:val="000000" w:themeColor="text1"/>
          <w:kern w:val="0"/>
          <w:sz w:val="32"/>
          <w:szCs w:val="32"/>
          <w14:textFill>
            <w14:solidFill>
              <w14:schemeClr w14:val="tx1"/>
            </w14:solidFill>
          </w14:textFill>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widowControl/>
        <w:spacing w:line="560" w:lineRule="exact"/>
        <w:ind w:firstLine="643" w:firstLineChars="200"/>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4．财政拨款（补助）收入：</w:t>
      </w:r>
      <w:r>
        <w:rPr>
          <w:rFonts w:hint="eastAsia" w:ascii="仿宋_GB2312" w:hAnsi="仿宋_GB2312" w:eastAsia="仿宋_GB2312" w:cs="仿宋_GB2312"/>
          <w:bCs/>
          <w:color w:val="000000" w:themeColor="text1"/>
          <w:kern w:val="0"/>
          <w:sz w:val="32"/>
          <w:szCs w:val="32"/>
          <w14:textFill>
            <w14:solidFill>
              <w14:schemeClr w14:val="tx1"/>
            </w14:solidFill>
          </w14:textFill>
        </w:rPr>
        <w:t>指从同级财政部门取得的财政预算资金。</w:t>
      </w:r>
    </w:p>
    <w:p>
      <w:pPr>
        <w:widowControl/>
        <w:spacing w:line="560" w:lineRule="exact"/>
        <w:ind w:firstLine="643" w:firstLineChars="200"/>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5．其他收入：</w:t>
      </w:r>
      <w:r>
        <w:rPr>
          <w:rFonts w:hint="eastAsia" w:ascii="仿宋_GB2312" w:hAnsi="仿宋_GB2312" w:eastAsia="仿宋_GB2312" w:cs="仿宋_GB2312"/>
          <w:bCs/>
          <w:color w:val="000000" w:themeColor="text1"/>
          <w:kern w:val="0"/>
          <w:sz w:val="32"/>
          <w:szCs w:val="32"/>
          <w14:textFill>
            <w14:solidFill>
              <w14:schemeClr w14:val="tx1"/>
            </w14:solidFill>
          </w14:textFill>
        </w:rPr>
        <w:t>指除上述“财政拨款收入”以外任务相应安排的资金。</w:t>
      </w:r>
    </w:p>
    <w:p>
      <w:pPr>
        <w:widowControl/>
        <w:spacing w:line="560" w:lineRule="exact"/>
        <w:ind w:firstLine="643" w:firstLineChars="200"/>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6．基本支出：</w:t>
      </w:r>
      <w:r>
        <w:rPr>
          <w:rFonts w:hint="eastAsia" w:ascii="仿宋_GB2312" w:hAnsi="仿宋_GB2312" w:eastAsia="仿宋_GB2312" w:cs="仿宋_GB2312"/>
          <w:bCs/>
          <w:color w:val="000000" w:themeColor="text1"/>
          <w:kern w:val="0"/>
          <w:sz w:val="32"/>
          <w:szCs w:val="32"/>
          <w14:textFill>
            <w14:solidFill>
              <w14:schemeClr w14:val="tx1"/>
            </w14:solidFill>
          </w14:textFill>
        </w:rPr>
        <w:t>指为保障机构正常运转、完成日常工作任务而发生的人员支出和公用支出。</w:t>
      </w:r>
    </w:p>
    <w:p>
      <w:pPr>
        <w:widowControl/>
        <w:spacing w:line="560" w:lineRule="exact"/>
        <w:ind w:firstLine="643" w:firstLineChars="200"/>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7．项目支出：</w:t>
      </w:r>
      <w:r>
        <w:rPr>
          <w:rFonts w:hint="eastAsia" w:ascii="仿宋_GB2312" w:hAnsi="仿宋_GB2312" w:eastAsia="仿宋_GB2312" w:cs="仿宋_GB2312"/>
          <w:bCs/>
          <w:color w:val="000000" w:themeColor="text1"/>
          <w:kern w:val="0"/>
          <w:sz w:val="32"/>
          <w:szCs w:val="32"/>
          <w14:textFill>
            <w14:solidFill>
              <w14:schemeClr w14:val="tx1"/>
            </w14:solidFill>
          </w14:textFill>
        </w:rPr>
        <w:t>指在基本支出之外为完成特定行政任务和事业发展目标所发生的支出。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inherit">
    <w:altName w:val="仿宋_GB2312"/>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0Mzg1NjBkMDViYTgxNjY4MjE1NmFiZDAyYjhmYzUifQ=="/>
  </w:docVars>
  <w:rsids>
    <w:rsidRoot w:val="0010135B"/>
    <w:rsid w:val="0007474A"/>
    <w:rsid w:val="000F1F99"/>
    <w:rsid w:val="0010135B"/>
    <w:rsid w:val="00104384"/>
    <w:rsid w:val="001212FB"/>
    <w:rsid w:val="001F06A4"/>
    <w:rsid w:val="002144B6"/>
    <w:rsid w:val="00295E97"/>
    <w:rsid w:val="002F12C2"/>
    <w:rsid w:val="0030520C"/>
    <w:rsid w:val="00322A49"/>
    <w:rsid w:val="003E7A9D"/>
    <w:rsid w:val="004503F7"/>
    <w:rsid w:val="004D0181"/>
    <w:rsid w:val="0051352A"/>
    <w:rsid w:val="00561456"/>
    <w:rsid w:val="0057763A"/>
    <w:rsid w:val="006368CD"/>
    <w:rsid w:val="00655A33"/>
    <w:rsid w:val="006750AC"/>
    <w:rsid w:val="00683170"/>
    <w:rsid w:val="006F32D4"/>
    <w:rsid w:val="00711536"/>
    <w:rsid w:val="0074268D"/>
    <w:rsid w:val="00767043"/>
    <w:rsid w:val="007827A9"/>
    <w:rsid w:val="007A559B"/>
    <w:rsid w:val="00803BBA"/>
    <w:rsid w:val="008226AF"/>
    <w:rsid w:val="00825892"/>
    <w:rsid w:val="0089100F"/>
    <w:rsid w:val="0096313A"/>
    <w:rsid w:val="00AC2B06"/>
    <w:rsid w:val="00AC4FAF"/>
    <w:rsid w:val="00AE30B8"/>
    <w:rsid w:val="00AE7AD7"/>
    <w:rsid w:val="00B40BD2"/>
    <w:rsid w:val="00BC0C0C"/>
    <w:rsid w:val="00BD7A04"/>
    <w:rsid w:val="00C24A40"/>
    <w:rsid w:val="00C61789"/>
    <w:rsid w:val="00C906D2"/>
    <w:rsid w:val="00CC0D29"/>
    <w:rsid w:val="00D87A1D"/>
    <w:rsid w:val="00DF71BD"/>
    <w:rsid w:val="00E25628"/>
    <w:rsid w:val="00E7467E"/>
    <w:rsid w:val="00EB36A7"/>
    <w:rsid w:val="00EB3CB1"/>
    <w:rsid w:val="00EB62F2"/>
    <w:rsid w:val="00EF1D11"/>
    <w:rsid w:val="00EF7695"/>
    <w:rsid w:val="00F014E5"/>
    <w:rsid w:val="04E751B1"/>
    <w:rsid w:val="0F69312E"/>
    <w:rsid w:val="0F9D022B"/>
    <w:rsid w:val="128A757D"/>
    <w:rsid w:val="142F2812"/>
    <w:rsid w:val="14B81AD0"/>
    <w:rsid w:val="16260982"/>
    <w:rsid w:val="1696550A"/>
    <w:rsid w:val="1AB9109D"/>
    <w:rsid w:val="1AEA35CD"/>
    <w:rsid w:val="1F0421FD"/>
    <w:rsid w:val="274A7BA8"/>
    <w:rsid w:val="295F7E9E"/>
    <w:rsid w:val="2CEA758E"/>
    <w:rsid w:val="340F0849"/>
    <w:rsid w:val="358310DD"/>
    <w:rsid w:val="37B03A86"/>
    <w:rsid w:val="38DA6372"/>
    <w:rsid w:val="39371399"/>
    <w:rsid w:val="3F315E8B"/>
    <w:rsid w:val="3FF347F3"/>
    <w:rsid w:val="42DD6BCA"/>
    <w:rsid w:val="446C50A9"/>
    <w:rsid w:val="453F0318"/>
    <w:rsid w:val="4DE8245A"/>
    <w:rsid w:val="4F690739"/>
    <w:rsid w:val="53250A47"/>
    <w:rsid w:val="5AFA3CE5"/>
    <w:rsid w:val="63C02627"/>
    <w:rsid w:val="65BF01BB"/>
    <w:rsid w:val="6E31493D"/>
    <w:rsid w:val="6E593D44"/>
    <w:rsid w:val="6EBD05B9"/>
    <w:rsid w:val="7085332A"/>
    <w:rsid w:val="714052EC"/>
    <w:rsid w:val="72B75D75"/>
    <w:rsid w:val="74047A5F"/>
    <w:rsid w:val="77B71D02"/>
    <w:rsid w:val="781249FC"/>
    <w:rsid w:val="789C0DBE"/>
    <w:rsid w:val="7A8916A2"/>
    <w:rsid w:val="D2AB06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szCs w:val="24"/>
    </w:r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2194</Words>
  <Characters>2355</Characters>
  <Lines>26</Lines>
  <Paragraphs>7</Paragraphs>
  <TotalTime>8</TotalTime>
  <ScaleCrop>false</ScaleCrop>
  <LinksUpToDate>false</LinksUpToDate>
  <CharactersWithSpaces>2391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2023-02-13T08:31:00Z</dcterms:created>
  <dc:creator>曹群豪(拟稿)</dc:creator>
  <cp:lastModifiedBy>13</cp:lastModifiedBy>
  <cp:lastPrinted>2022-02-22T10:20:00Z</cp:lastPrinted>
  <dcterms:modified xsi:type="dcterms:W3CDTF">2023-02-21T08:17:04Z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78AC8EACF389449F88D787DD20EE2074</vt:lpwstr>
  </property>
</Properties>
</file>