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hint="eastAsia" w:ascii="inherit" w:hAnsi="inherit" w:eastAsia="微软雅黑" w:cs="Helvetica"/>
          <w:color w:val="333333"/>
          <w:kern w:val="0"/>
          <w:sz w:val="45"/>
          <w:szCs w:val="45"/>
        </w:rPr>
      </w:pPr>
    </w:p>
    <w:p>
      <w:pPr>
        <w:widowControl/>
        <w:outlineLvl w:val="1"/>
        <w:rPr>
          <w:rFonts w:hint="eastAsia" w:ascii="inherit" w:hAnsi="inherit" w:eastAsia="微软雅黑" w:cs="Helvetica"/>
          <w:color w:val="333333"/>
          <w:kern w:val="0"/>
          <w:sz w:val="45"/>
          <w:szCs w:val="45"/>
        </w:rPr>
      </w:pPr>
    </w:p>
    <w:p>
      <w:pPr>
        <w:widowControl/>
        <w:spacing w:line="560" w:lineRule="exact"/>
        <w:jc w:val="center"/>
        <w:outlineLvl w:val="1"/>
        <w:rPr>
          <w:rFonts w:hint="eastAsia" w:ascii="黑体" w:hAnsi="黑体" w:eastAsia="黑体" w:cs="Helvetica"/>
          <w:color w:val="333333"/>
          <w:kern w:val="0"/>
          <w:sz w:val="44"/>
          <w:szCs w:val="44"/>
          <w:lang w:eastAsia="zh-CN"/>
        </w:rPr>
      </w:pPr>
      <w:r>
        <w:rPr>
          <w:rFonts w:hint="eastAsia" w:ascii="黑体" w:hAnsi="黑体" w:eastAsia="黑体" w:cs="Helvetica"/>
          <w:color w:val="333333"/>
          <w:kern w:val="0"/>
          <w:sz w:val="44"/>
          <w:szCs w:val="44"/>
        </w:rPr>
        <w:t>湖北</w:t>
      </w:r>
      <w:r>
        <w:rPr>
          <w:rFonts w:ascii="黑体" w:hAnsi="黑体" w:eastAsia="黑体" w:cs="Helvetica"/>
          <w:color w:val="333333"/>
          <w:kern w:val="0"/>
          <w:sz w:val="44"/>
          <w:szCs w:val="44"/>
        </w:rPr>
        <w:t>省统计局</w:t>
      </w:r>
      <w:r>
        <w:rPr>
          <w:rFonts w:hint="eastAsia" w:ascii="黑体" w:hAnsi="黑体" w:eastAsia="黑体" w:cs="Helvetica"/>
          <w:color w:val="333333"/>
          <w:kern w:val="0"/>
          <w:sz w:val="44"/>
          <w:szCs w:val="44"/>
          <w:lang w:eastAsia="zh-CN"/>
        </w:rPr>
        <w:t>长阳经济社会调查队</w:t>
      </w:r>
    </w:p>
    <w:p>
      <w:pPr>
        <w:widowControl/>
        <w:spacing w:line="560" w:lineRule="exact"/>
        <w:jc w:val="center"/>
        <w:outlineLvl w:val="1"/>
        <w:rPr>
          <w:rFonts w:ascii="黑体" w:hAnsi="黑体" w:eastAsia="黑体" w:cs="Helvetica"/>
          <w:color w:val="333333"/>
          <w:kern w:val="0"/>
          <w:sz w:val="44"/>
          <w:szCs w:val="44"/>
        </w:rPr>
      </w:pPr>
      <w:r>
        <w:rPr>
          <w:rFonts w:hint="eastAsia" w:ascii="黑体" w:hAnsi="黑体" w:eastAsia="黑体" w:cs="Helvetica"/>
          <w:color w:val="333333"/>
          <w:kern w:val="0"/>
          <w:sz w:val="44"/>
          <w:szCs w:val="44"/>
        </w:rPr>
        <w:t>2023年单位预算公开情况</w:t>
      </w:r>
      <w:r>
        <w:rPr>
          <w:rFonts w:ascii="黑体" w:hAnsi="黑体" w:eastAsia="黑体" w:cs="Helvetica"/>
          <w:color w:val="333333"/>
          <w:kern w:val="0"/>
          <w:sz w:val="44"/>
          <w:szCs w:val="44"/>
        </w:rPr>
        <w:t>说明</w:t>
      </w:r>
    </w:p>
    <w:p>
      <w:pPr>
        <w:widowControl/>
        <w:rPr>
          <w:rFonts w:cs="Helvetica" w:asciiTheme="minorEastAsia" w:hAnsiTheme="minorEastAsia"/>
          <w:color w:val="333333"/>
          <w:kern w:val="0"/>
          <w:sz w:val="24"/>
          <w:szCs w:val="24"/>
        </w:rPr>
      </w:pPr>
      <w:r>
        <w:rPr>
          <w:rFonts w:hint="eastAsia" w:ascii="微软雅黑" w:hAnsi="微软雅黑" w:eastAsia="微软雅黑" w:cs="Helvetica"/>
          <w:color w:val="333333"/>
          <w:kern w:val="0"/>
          <w:szCs w:val="21"/>
        </w:rPr>
        <w:t xml:space="preserve">　　                         </w:t>
      </w:r>
      <w:r>
        <w:rPr>
          <w:rFonts w:hint="eastAsia" w:cs="Helvetica" w:asciiTheme="minorEastAsia" w:hAnsiTheme="minorEastAsia"/>
          <w:color w:val="333333"/>
          <w:kern w:val="0"/>
          <w:sz w:val="24"/>
          <w:szCs w:val="24"/>
        </w:rPr>
        <w:t xml:space="preserve"> </w:t>
      </w:r>
      <w:r>
        <w:rPr>
          <w:rFonts w:cs="Helvetica" w:asciiTheme="minorEastAsia" w:hAnsiTheme="minorEastAsia"/>
          <w:color w:val="333333"/>
          <w:kern w:val="0"/>
          <w:sz w:val="24"/>
          <w:szCs w:val="24"/>
        </w:rPr>
        <w:t xml:space="preserve">   </w:t>
      </w:r>
      <w:r>
        <w:rPr>
          <w:rFonts w:hint="eastAsia" w:cs="Helvetica" w:asciiTheme="minorEastAsia" w:hAnsiTheme="minorEastAsia"/>
          <w:color w:val="333333"/>
          <w:kern w:val="0"/>
          <w:sz w:val="24"/>
          <w:szCs w:val="24"/>
        </w:rPr>
        <w:t xml:space="preserve"> </w:t>
      </w:r>
    </w:p>
    <w:p>
      <w:pPr>
        <w:widowControl/>
        <w:spacing w:line="480" w:lineRule="exact"/>
        <w:jc w:val="left"/>
        <w:rPr>
          <w:rFonts w:cs="Helvetica" w:asciiTheme="minorEastAsia" w:hAnsiTheme="minorEastAsia"/>
          <w:color w:val="333333"/>
          <w:kern w:val="0"/>
          <w:sz w:val="24"/>
          <w:szCs w:val="24"/>
        </w:rPr>
      </w:pP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一</w:t>
      </w:r>
      <w:r>
        <w:rPr>
          <w:rFonts w:ascii="仿宋" w:hAnsi="仿宋" w:eastAsia="仿宋" w:cs="Helvetica"/>
          <w:b/>
          <w:color w:val="333333"/>
          <w:kern w:val="0"/>
          <w:sz w:val="32"/>
          <w:szCs w:val="32"/>
        </w:rPr>
        <w:t>、</w:t>
      </w:r>
      <w:r>
        <w:rPr>
          <w:rFonts w:hint="eastAsia" w:ascii="仿宋" w:hAnsi="仿宋" w:eastAsia="仿宋" w:cs="Helvetica"/>
          <w:b/>
          <w:color w:val="333333"/>
          <w:kern w:val="0"/>
          <w:sz w:val="32"/>
          <w:szCs w:val="32"/>
        </w:rPr>
        <w:t>单位主要职责</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二、机构设置情况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三、预算收支及增减变化情况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四、机关运行经费情况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五、一般公共预算“三公”经费及增减变化情况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六</w:t>
      </w:r>
      <w:r>
        <w:rPr>
          <w:rFonts w:ascii="仿宋" w:hAnsi="仿宋" w:eastAsia="仿宋" w:cs="Helvetica"/>
          <w:b/>
          <w:color w:val="333333"/>
          <w:kern w:val="0"/>
          <w:sz w:val="32"/>
          <w:szCs w:val="32"/>
        </w:rPr>
        <w:t>、</w:t>
      </w:r>
      <w:r>
        <w:rPr>
          <w:rFonts w:hint="eastAsia" w:ascii="仿宋" w:hAnsi="仿宋" w:eastAsia="仿宋" w:cs="Helvetica"/>
          <w:b/>
          <w:color w:val="333333"/>
          <w:kern w:val="0"/>
          <w:sz w:val="32"/>
          <w:szCs w:val="32"/>
        </w:rPr>
        <w:t>政府采购预算安排情况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七、国有资产占用情况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八、重点项目预算绩效情况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九、其他需要说明的情况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十</w:t>
      </w:r>
      <w:r>
        <w:rPr>
          <w:rFonts w:ascii="仿宋" w:hAnsi="仿宋" w:eastAsia="仿宋" w:cs="Helvetica"/>
          <w:b/>
          <w:color w:val="333333"/>
          <w:kern w:val="0"/>
          <w:sz w:val="32"/>
          <w:szCs w:val="32"/>
        </w:rPr>
        <w:t>、</w:t>
      </w:r>
      <w:r>
        <w:rPr>
          <w:rFonts w:hint="eastAsia" w:ascii="仿宋" w:hAnsi="仿宋" w:eastAsia="仿宋" w:cs="Helvetica"/>
          <w:b/>
          <w:bCs/>
          <w:color w:val="333333"/>
          <w:kern w:val="0"/>
          <w:sz w:val="32"/>
          <w:szCs w:val="32"/>
        </w:rPr>
        <w:t>专业</w:t>
      </w:r>
      <w:r>
        <w:rPr>
          <w:rFonts w:hint="eastAsia" w:ascii="仿宋" w:hAnsi="仿宋" w:eastAsia="仿宋" w:cs="Helvetica"/>
          <w:b/>
          <w:color w:val="333333"/>
          <w:kern w:val="0"/>
          <w:sz w:val="32"/>
          <w:szCs w:val="32"/>
        </w:rPr>
        <w:t>名词解释</w:t>
      </w:r>
    </w:p>
    <w:p>
      <w:pPr>
        <w:widowControl/>
        <w:spacing w:line="500" w:lineRule="exact"/>
        <w:rPr>
          <w:rFonts w:cs="Helvetica" w:asciiTheme="majorEastAsia" w:hAnsiTheme="majorEastAsia" w:eastAsiaTheme="majorEastAsia"/>
          <w:b/>
          <w:color w:val="333333"/>
          <w:kern w:val="0"/>
          <w:sz w:val="24"/>
          <w:szCs w:val="24"/>
        </w:rPr>
      </w:pPr>
      <w:r>
        <w:rPr>
          <w:rFonts w:hint="eastAsia" w:cs="Helvetica" w:asciiTheme="majorEastAsia" w:hAnsiTheme="majorEastAsia" w:eastAsiaTheme="majorEastAsia"/>
          <w:b/>
          <w:color w:val="333333"/>
          <w:kern w:val="0"/>
          <w:sz w:val="24"/>
          <w:szCs w:val="24"/>
        </w:rPr>
        <w:t>　　</w:t>
      </w:r>
    </w:p>
    <w:p>
      <w:pPr>
        <w:widowControl/>
        <w:spacing w:line="520" w:lineRule="exact"/>
        <w:ind w:firstLine="361" w:firstLineChars="150"/>
        <w:rPr>
          <w:rFonts w:cs="Helvetica" w:asciiTheme="minorEastAsia" w:hAnsiTheme="minorEastAsia"/>
          <w:b/>
          <w:color w:val="333333"/>
          <w:kern w:val="0"/>
          <w:sz w:val="24"/>
          <w:szCs w:val="24"/>
        </w:rPr>
      </w:pPr>
      <w:r>
        <w:rPr>
          <w:rFonts w:hint="eastAsia" w:cs="Helvetica" w:asciiTheme="minorEastAsia" w:hAnsiTheme="minorEastAsia"/>
          <w:b/>
          <w:color w:val="333333"/>
          <w:kern w:val="0"/>
          <w:sz w:val="24"/>
          <w:szCs w:val="24"/>
        </w:rPr>
        <w:t xml:space="preserve"> </w:t>
      </w: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rPr>
          <w:rFonts w:cs="Helvetica" w:asciiTheme="minorEastAsia" w:hAnsiTheme="minorEastAsia"/>
          <w:b/>
          <w:color w:val="333333"/>
          <w:kern w:val="0"/>
          <w:sz w:val="24"/>
          <w:szCs w:val="24"/>
        </w:rPr>
      </w:pPr>
    </w:p>
    <w:p>
      <w:pPr>
        <w:widowControl/>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一、单位主要职责</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负责统计数据质量监测和核查；组织实施统计调查和监测工作；参与统计执法</w:t>
      </w:r>
      <w:bookmarkStart w:id="0" w:name="_GoBack"/>
      <w:bookmarkEnd w:id="0"/>
      <w:r>
        <w:rPr>
          <w:rFonts w:hint="eastAsia" w:ascii="仿宋_GB2312" w:hAnsi="仿宋_GB2312" w:eastAsia="仿宋_GB2312" w:cs="仿宋_GB2312"/>
          <w:b w:val="0"/>
          <w:bCs w:val="0"/>
          <w:color w:val="auto"/>
          <w:sz w:val="32"/>
          <w:szCs w:val="32"/>
          <w:lang w:val="en-US" w:eastAsia="zh-CN"/>
        </w:rPr>
        <w:t>相关工作；参与大型国情国力调查等重大统计工作；协助地方统计局开展相关工作；完成省统计局和省统计局调查监测中心和宜昌调查监测分局交办的其他工作。</w:t>
      </w:r>
    </w:p>
    <w:p>
      <w:pPr>
        <w:widowControl/>
        <w:shd w:val="clear" w:color="auto" w:fill="FFFFFF"/>
        <w:spacing w:line="480" w:lineRule="exact"/>
        <w:ind w:firstLine="640" w:firstLineChars="200"/>
        <w:jc w:val="left"/>
        <w:rPr>
          <w:rFonts w:ascii="仿宋" w:hAnsi="仿宋" w:eastAsia="仿宋" w:cs="Arial"/>
          <w:color w:val="333333"/>
          <w:kern w:val="0"/>
          <w:sz w:val="32"/>
          <w:szCs w:val="32"/>
        </w:rPr>
      </w:pPr>
      <w:r>
        <w:rPr>
          <w:rFonts w:hint="eastAsia" w:ascii="黑体" w:hAnsi="黑体" w:eastAsia="黑体" w:cs="黑体"/>
          <w:kern w:val="0"/>
          <w:sz w:val="32"/>
          <w:szCs w:val="32"/>
        </w:rPr>
        <w:t>二、机构设置情况</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eastAsia="zh-CN"/>
        </w:rPr>
        <w:t>我单位分</w:t>
      </w:r>
      <w:r>
        <w:rPr>
          <w:rFonts w:hint="default" w:ascii="Times New Roman" w:hAnsi="Times New Roman" w:eastAsia="仿宋_GB2312" w:cs="Times New Roman"/>
          <w:b w:val="0"/>
          <w:bCs w:val="0"/>
          <w:color w:val="auto"/>
          <w:kern w:val="0"/>
          <w:sz w:val="32"/>
          <w:szCs w:val="32"/>
          <w:highlight w:val="none"/>
          <w:lang w:eastAsia="zh-CN"/>
        </w:rPr>
        <w:t>设</w:t>
      </w:r>
      <w:r>
        <w:rPr>
          <w:rFonts w:hint="default" w:ascii="Times New Roman" w:hAnsi="Times New Roman" w:eastAsia="仿宋_GB2312" w:cs="Times New Roman"/>
          <w:b w:val="0"/>
          <w:bCs w:val="0"/>
          <w:color w:val="auto"/>
          <w:kern w:val="0"/>
          <w:sz w:val="32"/>
          <w:szCs w:val="32"/>
          <w:highlight w:val="none"/>
          <w:lang w:val="en-US" w:eastAsia="zh-CN"/>
        </w:rPr>
        <w:t>2</w:t>
      </w:r>
      <w:r>
        <w:rPr>
          <w:rFonts w:hint="eastAsia" w:ascii="仿宋_GB2312" w:hAnsi="仿宋_GB2312" w:eastAsia="仿宋_GB2312" w:cs="仿宋_GB2312"/>
          <w:b w:val="0"/>
          <w:bCs w:val="0"/>
          <w:color w:val="auto"/>
          <w:kern w:val="0"/>
          <w:sz w:val="32"/>
          <w:szCs w:val="32"/>
          <w:highlight w:val="none"/>
          <w:lang w:eastAsia="zh-CN"/>
        </w:rPr>
        <w:t>个内设机构：调查监测一科、调查监测二科。</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kern w:val="0"/>
          <w:sz w:val="32"/>
          <w:szCs w:val="32"/>
          <w:highlight w:val="none"/>
          <w:lang w:val="en-US" w:eastAsia="zh-CN"/>
        </w:rPr>
        <w:t>（一）</w:t>
      </w:r>
      <w:r>
        <w:rPr>
          <w:rFonts w:hint="eastAsia" w:ascii="楷体_GB2312" w:hAnsi="楷体_GB2312" w:eastAsia="楷体_GB2312" w:cs="楷体_GB2312"/>
          <w:b w:val="0"/>
          <w:bCs w:val="0"/>
          <w:color w:val="auto"/>
          <w:kern w:val="0"/>
          <w:sz w:val="32"/>
          <w:szCs w:val="32"/>
          <w:highlight w:val="none"/>
          <w:lang w:eastAsia="zh-CN"/>
        </w:rPr>
        <w:t>调查监测一科的主要职责是:</w:t>
      </w:r>
      <w:r>
        <w:rPr>
          <w:rFonts w:hint="eastAsia" w:ascii="仿宋_GB2312" w:hAnsi="仿宋_GB2312" w:eastAsia="仿宋_GB2312" w:cs="仿宋_GB2312"/>
          <w:b w:val="0"/>
          <w:bCs w:val="0"/>
          <w:color w:val="auto"/>
          <w:kern w:val="0"/>
          <w:sz w:val="32"/>
          <w:szCs w:val="32"/>
          <w:highlight w:val="none"/>
          <w:lang w:eastAsia="zh-CN"/>
        </w:rPr>
        <w:t>负责统计数据质量监测和核查；负责调查队的日常管理和综合协调；开展相关统计调查和监测工作；参与统计执法相关工作；参与大型国情国力调查等重大统计工作；协助地方统计局开展相关工作；完成省统计局和</w:t>
      </w:r>
      <w:r>
        <w:rPr>
          <w:rFonts w:hint="eastAsia" w:ascii="仿宋_GB2312" w:hAnsi="仿宋_GB2312" w:eastAsia="仿宋_GB2312" w:cs="仿宋_GB2312"/>
          <w:b w:val="0"/>
          <w:bCs w:val="0"/>
          <w:color w:val="auto"/>
          <w:sz w:val="32"/>
          <w:szCs w:val="32"/>
          <w:lang w:val="en-US" w:eastAsia="zh-CN"/>
        </w:rPr>
        <w:t>省统计局调查监测中心和宜昌调查监测分局交办的其他工作。</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lang w:val="en-US" w:eastAsia="zh-CN"/>
        </w:rPr>
        <w:t>（二）</w:t>
      </w:r>
      <w:r>
        <w:rPr>
          <w:rFonts w:hint="eastAsia" w:ascii="楷体_GB2312" w:hAnsi="楷体_GB2312" w:eastAsia="楷体_GB2312" w:cs="楷体_GB2312"/>
          <w:b w:val="0"/>
          <w:bCs w:val="0"/>
          <w:color w:val="auto"/>
          <w:kern w:val="0"/>
          <w:sz w:val="32"/>
          <w:szCs w:val="32"/>
          <w:highlight w:val="none"/>
          <w:lang w:eastAsia="zh-CN"/>
        </w:rPr>
        <w:t>调查监测二科的主要职责是:</w:t>
      </w:r>
      <w:r>
        <w:rPr>
          <w:rFonts w:hint="eastAsia" w:ascii="仿宋_GB2312" w:hAnsi="仿宋_GB2312" w:eastAsia="仿宋_GB2312" w:cs="仿宋_GB2312"/>
          <w:b w:val="0"/>
          <w:bCs w:val="0"/>
          <w:color w:val="auto"/>
          <w:kern w:val="0"/>
          <w:sz w:val="32"/>
          <w:szCs w:val="32"/>
          <w:highlight w:val="none"/>
          <w:lang w:eastAsia="zh-CN"/>
        </w:rPr>
        <w:t>负责统计数据质量监测和核查；开展相关统计调查和监测工作；开展统计执法相关工作；参与大型国情国力调查等重大统计工作；协助地方统计局开展相关工作；完成省统计局和</w:t>
      </w:r>
      <w:r>
        <w:rPr>
          <w:rFonts w:hint="eastAsia" w:ascii="仿宋_GB2312" w:hAnsi="仿宋_GB2312" w:eastAsia="仿宋_GB2312" w:cs="仿宋_GB2312"/>
          <w:b w:val="0"/>
          <w:bCs w:val="0"/>
          <w:color w:val="auto"/>
          <w:sz w:val="32"/>
          <w:szCs w:val="32"/>
          <w:lang w:val="en-US" w:eastAsia="zh-CN"/>
        </w:rPr>
        <w:t>省统计局调查监测中心和宜昌调查监测分局交办的其他工作。</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三、预算收支及增减变化情况</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000000"/>
          <w:kern w:val="0"/>
          <w:sz w:val="32"/>
          <w:szCs w:val="32"/>
        </w:rPr>
      </w:pPr>
      <w:r>
        <w:rPr>
          <w:rFonts w:ascii="楷体" w:hAnsi="楷体" w:eastAsia="楷体" w:cs="Helvetica"/>
          <w:b/>
          <w:bCs/>
          <w:color w:val="333333"/>
          <w:kern w:val="0"/>
          <w:sz w:val="32"/>
          <w:szCs w:val="32"/>
        </w:rPr>
        <w:t>1.</w:t>
      </w:r>
      <w:r>
        <w:rPr>
          <w:rFonts w:hint="eastAsia" w:ascii="楷体" w:hAnsi="楷体" w:eastAsia="楷体" w:cs="Helvetica"/>
          <w:b/>
          <w:bCs/>
          <w:color w:val="333333"/>
          <w:kern w:val="0"/>
          <w:sz w:val="32"/>
          <w:szCs w:val="32"/>
        </w:rPr>
        <w:t>预算收入情况:</w:t>
      </w:r>
      <w:r>
        <w:rPr>
          <w:rFonts w:hint="eastAsia" w:ascii="仿宋_GB2312" w:hAnsi="仿宋_GB2312" w:eastAsia="仿宋_GB2312" w:cs="仿宋_GB2312"/>
          <w:bCs/>
          <w:color w:val="000000"/>
          <w:kern w:val="0"/>
          <w:sz w:val="32"/>
          <w:szCs w:val="32"/>
        </w:rPr>
        <w:t>2023年本年收入为</w:t>
      </w:r>
      <w:r>
        <w:rPr>
          <w:rFonts w:hint="eastAsia" w:ascii="仿宋_GB2312" w:hAnsi="仿宋_GB2312" w:eastAsia="仿宋_GB2312" w:cs="仿宋_GB2312"/>
          <w:bCs/>
          <w:color w:val="000000"/>
          <w:kern w:val="0"/>
          <w:sz w:val="32"/>
          <w:szCs w:val="32"/>
          <w:lang w:val="en-US" w:eastAsia="zh-CN"/>
        </w:rPr>
        <w:t>61.84</w:t>
      </w:r>
      <w:r>
        <w:rPr>
          <w:rFonts w:hint="eastAsia" w:ascii="仿宋_GB2312" w:hAnsi="仿宋_GB2312" w:eastAsia="仿宋_GB2312" w:cs="仿宋_GB2312"/>
          <w:bCs/>
          <w:color w:val="000000"/>
          <w:kern w:val="0"/>
          <w:sz w:val="32"/>
          <w:szCs w:val="32"/>
        </w:rPr>
        <w:t>万元，比上年</w:t>
      </w:r>
      <w:r>
        <w:rPr>
          <w:rFonts w:hint="eastAsia" w:ascii="仿宋_GB2312" w:hAnsi="仿宋_GB2312" w:eastAsia="仿宋_GB2312" w:cs="仿宋_GB2312"/>
          <w:bCs/>
          <w:color w:val="000000"/>
          <w:kern w:val="0"/>
          <w:sz w:val="32"/>
          <w:szCs w:val="32"/>
          <w:lang w:eastAsia="zh-CN"/>
        </w:rPr>
        <w:t>减少</w:t>
      </w:r>
      <w:r>
        <w:rPr>
          <w:rFonts w:hint="eastAsia" w:ascii="仿宋_GB2312" w:hAnsi="仿宋_GB2312" w:eastAsia="仿宋_GB2312" w:cs="仿宋_GB2312"/>
          <w:bCs/>
          <w:color w:val="000000"/>
          <w:kern w:val="0"/>
          <w:sz w:val="32"/>
          <w:szCs w:val="32"/>
          <w:lang w:val="en-US" w:eastAsia="zh-CN"/>
        </w:rPr>
        <w:t>9.16</w:t>
      </w:r>
      <w:r>
        <w:rPr>
          <w:rFonts w:hint="eastAsia" w:ascii="仿宋_GB2312" w:hAnsi="仿宋_GB2312" w:eastAsia="仿宋_GB2312" w:cs="仿宋_GB2312"/>
          <w:bCs/>
          <w:color w:val="000000"/>
          <w:kern w:val="0"/>
          <w:sz w:val="32"/>
          <w:szCs w:val="32"/>
        </w:rPr>
        <w:t>万元，</w:t>
      </w:r>
      <w:r>
        <w:rPr>
          <w:rFonts w:hint="eastAsia" w:ascii="仿宋_GB2312" w:hAnsi="仿宋_GB2312" w:eastAsia="仿宋_GB2312" w:cs="仿宋_GB2312"/>
          <w:bCs/>
          <w:color w:val="000000"/>
          <w:kern w:val="0"/>
          <w:sz w:val="32"/>
          <w:szCs w:val="32"/>
          <w:lang w:eastAsia="zh-CN"/>
        </w:rPr>
        <w:t>减少</w:t>
      </w:r>
      <w:r>
        <w:rPr>
          <w:rFonts w:hint="eastAsia" w:ascii="仿宋_GB2312" w:hAnsi="仿宋_GB2312" w:eastAsia="仿宋_GB2312" w:cs="仿宋_GB2312"/>
          <w:bCs/>
          <w:color w:val="000000"/>
          <w:kern w:val="0"/>
          <w:sz w:val="32"/>
          <w:szCs w:val="32"/>
          <w:lang w:val="en-US" w:eastAsia="zh-CN"/>
        </w:rPr>
        <w:t>12.90</w:t>
      </w:r>
      <w:r>
        <w:rPr>
          <w:rFonts w:hint="eastAsia" w:ascii="仿宋_GB2312" w:hAnsi="仿宋_GB2312" w:eastAsia="仿宋_GB2312" w:cs="仿宋_GB2312"/>
          <w:bCs/>
          <w:color w:val="000000"/>
          <w:kern w:val="0"/>
          <w:sz w:val="32"/>
          <w:szCs w:val="32"/>
        </w:rPr>
        <w:t>%。其中，经费拨款</w:t>
      </w:r>
      <w:r>
        <w:rPr>
          <w:rFonts w:hint="eastAsia" w:ascii="仿宋_GB2312" w:hAnsi="仿宋_GB2312" w:eastAsia="仿宋_GB2312" w:cs="仿宋_GB2312"/>
          <w:bCs/>
          <w:color w:val="000000"/>
          <w:kern w:val="0"/>
          <w:sz w:val="32"/>
          <w:szCs w:val="32"/>
          <w:lang w:val="en-US" w:eastAsia="zh-CN"/>
        </w:rPr>
        <w:t>61.84</w:t>
      </w:r>
      <w:r>
        <w:rPr>
          <w:rFonts w:hint="eastAsia" w:ascii="仿宋_GB2312" w:hAnsi="仿宋_GB2312" w:eastAsia="仿宋_GB2312" w:cs="仿宋_GB2312"/>
          <w:bCs/>
          <w:color w:val="000000"/>
          <w:kern w:val="0"/>
          <w:sz w:val="32"/>
          <w:szCs w:val="32"/>
        </w:rPr>
        <w:t>万元，占本年收入的100%，无上年结转经费和其他收入预算。</w:t>
      </w:r>
    </w:p>
    <w:p>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sz w:val="32"/>
        </w:rPr>
        <w:t>收入</w:t>
      </w:r>
      <w:r>
        <w:rPr>
          <w:rFonts w:hint="eastAsia" w:ascii="仿宋_GB2312" w:hAnsi="仿宋_GB2312" w:eastAsia="仿宋_GB2312" w:cs="仿宋_GB2312"/>
          <w:sz w:val="32"/>
          <w:lang w:eastAsia="zh-CN"/>
        </w:rPr>
        <w:t>减少</w:t>
      </w:r>
      <w:r>
        <w:rPr>
          <w:rFonts w:hint="eastAsia" w:ascii="仿宋_GB2312" w:hAnsi="仿宋_GB2312" w:eastAsia="仿宋_GB2312" w:cs="仿宋_GB2312"/>
          <w:sz w:val="32"/>
        </w:rPr>
        <w:t>原因：经费拨款</w:t>
      </w:r>
      <w:r>
        <w:rPr>
          <w:rFonts w:hint="eastAsia" w:ascii="仿宋_GB2312" w:hAnsi="仿宋_GB2312" w:eastAsia="仿宋_GB2312" w:cs="仿宋_GB2312"/>
          <w:sz w:val="32"/>
          <w:lang w:eastAsia="zh-CN"/>
        </w:rPr>
        <w:t>减少</w:t>
      </w:r>
      <w:r>
        <w:rPr>
          <w:rFonts w:hint="eastAsia" w:ascii="仿宋_GB2312" w:hAnsi="仿宋_GB2312" w:eastAsia="仿宋_GB2312" w:cs="仿宋_GB2312"/>
          <w:bCs/>
          <w:color w:val="000000"/>
          <w:kern w:val="0"/>
          <w:sz w:val="32"/>
          <w:szCs w:val="32"/>
          <w:lang w:val="en-US" w:eastAsia="zh-CN"/>
        </w:rPr>
        <w:t>9.16</w:t>
      </w:r>
      <w:r>
        <w:rPr>
          <w:rFonts w:hint="eastAsia" w:ascii="仿宋_GB2312" w:hAnsi="仿宋_GB2312" w:eastAsia="仿宋_GB2312" w:cs="仿宋_GB2312"/>
          <w:sz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333333"/>
          <w:kern w:val="0"/>
          <w:sz w:val="32"/>
          <w:szCs w:val="32"/>
        </w:rPr>
      </w:pPr>
      <w:r>
        <w:rPr>
          <w:rFonts w:hint="eastAsia" w:ascii="楷体" w:hAnsi="楷体" w:eastAsia="楷体" w:cs="Helvetica"/>
          <w:b/>
          <w:bCs/>
          <w:color w:val="333333"/>
          <w:kern w:val="0"/>
          <w:sz w:val="32"/>
          <w:szCs w:val="32"/>
        </w:rPr>
        <w:t>2</w:t>
      </w:r>
      <w:r>
        <w:rPr>
          <w:rFonts w:ascii="楷体" w:hAnsi="楷体" w:eastAsia="楷体" w:cs="Helvetica"/>
          <w:b/>
          <w:bCs/>
          <w:color w:val="333333"/>
          <w:kern w:val="0"/>
          <w:sz w:val="32"/>
          <w:szCs w:val="32"/>
        </w:rPr>
        <w:t>.</w:t>
      </w:r>
      <w:r>
        <w:rPr>
          <w:rFonts w:hint="eastAsia" w:ascii="楷体" w:hAnsi="楷体" w:eastAsia="楷体" w:cs="Helvetica"/>
          <w:b/>
          <w:bCs/>
          <w:color w:val="333333"/>
          <w:kern w:val="0"/>
          <w:sz w:val="32"/>
          <w:szCs w:val="32"/>
        </w:rPr>
        <w:t>预算支</w:t>
      </w:r>
      <w:r>
        <w:rPr>
          <w:rFonts w:ascii="楷体" w:hAnsi="楷体" w:eastAsia="楷体" w:cs="Helvetica"/>
          <w:b/>
          <w:bCs/>
          <w:color w:val="333333"/>
          <w:kern w:val="0"/>
          <w:sz w:val="32"/>
          <w:szCs w:val="32"/>
        </w:rPr>
        <w:t>出</w:t>
      </w:r>
      <w:r>
        <w:rPr>
          <w:rFonts w:hint="eastAsia" w:ascii="楷体" w:hAnsi="楷体" w:eastAsia="楷体" w:cs="Helvetica"/>
          <w:b/>
          <w:bCs/>
          <w:color w:val="333333"/>
          <w:kern w:val="0"/>
          <w:sz w:val="32"/>
          <w:szCs w:val="32"/>
        </w:rPr>
        <w:t>情况：</w:t>
      </w:r>
      <w:r>
        <w:rPr>
          <w:rFonts w:hint="eastAsia" w:ascii="仿宋_GB2312" w:hAnsi="仿宋_GB2312" w:eastAsia="仿宋_GB2312" w:cs="仿宋_GB2312"/>
          <w:bCs/>
          <w:color w:val="000000"/>
          <w:kern w:val="0"/>
          <w:sz w:val="32"/>
          <w:szCs w:val="32"/>
        </w:rPr>
        <w:t>2023年本年支出</w:t>
      </w:r>
      <w:r>
        <w:rPr>
          <w:rFonts w:hint="eastAsia" w:ascii="仿宋_GB2312" w:hAnsi="仿宋_GB2312" w:eastAsia="仿宋_GB2312" w:cs="仿宋_GB2312"/>
          <w:bCs/>
          <w:color w:val="000000"/>
          <w:kern w:val="0"/>
          <w:sz w:val="32"/>
          <w:szCs w:val="32"/>
          <w:lang w:val="en-US" w:eastAsia="zh-CN"/>
        </w:rPr>
        <w:t>61.84</w:t>
      </w:r>
      <w:r>
        <w:rPr>
          <w:rFonts w:hint="eastAsia" w:ascii="仿宋_GB2312" w:hAnsi="仿宋_GB2312" w:eastAsia="仿宋_GB2312" w:cs="仿宋_GB2312"/>
          <w:bCs/>
          <w:color w:val="000000"/>
          <w:kern w:val="0"/>
          <w:sz w:val="32"/>
          <w:szCs w:val="32"/>
        </w:rPr>
        <w:t>万元,比上年</w:t>
      </w:r>
      <w:r>
        <w:rPr>
          <w:rFonts w:hint="eastAsia" w:ascii="仿宋_GB2312" w:hAnsi="仿宋_GB2312" w:eastAsia="仿宋_GB2312" w:cs="仿宋_GB2312"/>
          <w:bCs/>
          <w:color w:val="000000"/>
          <w:kern w:val="0"/>
          <w:sz w:val="32"/>
          <w:szCs w:val="32"/>
          <w:lang w:eastAsia="zh-CN"/>
        </w:rPr>
        <w:t>减少</w:t>
      </w:r>
      <w:r>
        <w:rPr>
          <w:rFonts w:hint="eastAsia" w:ascii="仿宋_GB2312" w:hAnsi="仿宋_GB2312" w:eastAsia="仿宋_GB2312" w:cs="仿宋_GB2312"/>
          <w:bCs/>
          <w:color w:val="000000"/>
          <w:kern w:val="0"/>
          <w:sz w:val="32"/>
          <w:szCs w:val="32"/>
          <w:lang w:val="en-US" w:eastAsia="zh-CN"/>
        </w:rPr>
        <w:t>9.16</w:t>
      </w:r>
      <w:r>
        <w:rPr>
          <w:rFonts w:hint="eastAsia" w:ascii="仿宋_GB2312" w:hAnsi="仿宋_GB2312" w:eastAsia="仿宋_GB2312" w:cs="仿宋_GB2312"/>
          <w:bCs/>
          <w:color w:val="000000"/>
          <w:kern w:val="0"/>
          <w:sz w:val="32"/>
          <w:szCs w:val="32"/>
        </w:rPr>
        <w:t>万元，</w:t>
      </w:r>
      <w:r>
        <w:rPr>
          <w:rFonts w:hint="eastAsia" w:ascii="仿宋_GB2312" w:hAnsi="仿宋_GB2312" w:eastAsia="仿宋_GB2312" w:cs="仿宋_GB2312"/>
          <w:bCs/>
          <w:color w:val="000000"/>
          <w:kern w:val="0"/>
          <w:sz w:val="32"/>
          <w:szCs w:val="32"/>
          <w:lang w:eastAsia="zh-CN"/>
        </w:rPr>
        <w:t>减少</w:t>
      </w:r>
      <w:r>
        <w:rPr>
          <w:rFonts w:hint="eastAsia" w:ascii="仿宋_GB2312" w:hAnsi="仿宋_GB2312" w:eastAsia="仿宋_GB2312" w:cs="仿宋_GB2312"/>
          <w:bCs/>
          <w:color w:val="000000"/>
          <w:kern w:val="0"/>
          <w:sz w:val="32"/>
          <w:szCs w:val="32"/>
          <w:lang w:val="en-US" w:eastAsia="zh-CN"/>
        </w:rPr>
        <w:t>12.90</w:t>
      </w:r>
      <w:r>
        <w:rPr>
          <w:rFonts w:hint="eastAsia" w:ascii="仿宋_GB2312" w:hAnsi="仿宋_GB2312" w:eastAsia="仿宋_GB2312" w:cs="仿宋_GB2312"/>
          <w:bCs/>
          <w:color w:val="000000"/>
          <w:kern w:val="0"/>
          <w:sz w:val="32"/>
          <w:szCs w:val="32"/>
        </w:rPr>
        <w:t>%。其中，基本支出</w:t>
      </w:r>
      <w:r>
        <w:rPr>
          <w:rFonts w:hint="eastAsia" w:ascii="仿宋_GB2312" w:hAnsi="仿宋_GB2312" w:eastAsia="仿宋_GB2312" w:cs="仿宋_GB2312"/>
          <w:bCs/>
          <w:color w:val="000000"/>
          <w:kern w:val="0"/>
          <w:sz w:val="32"/>
          <w:szCs w:val="32"/>
          <w:lang w:val="en-US" w:eastAsia="zh-CN"/>
        </w:rPr>
        <w:t>56.84</w:t>
      </w:r>
      <w:r>
        <w:rPr>
          <w:rFonts w:hint="eastAsia" w:ascii="仿宋_GB2312" w:hAnsi="仿宋_GB2312" w:eastAsia="仿宋_GB2312" w:cs="仿宋_GB2312"/>
          <w:bCs/>
          <w:color w:val="000000"/>
          <w:kern w:val="0"/>
          <w:sz w:val="32"/>
          <w:szCs w:val="32"/>
        </w:rPr>
        <w:t>万元，占总支出的</w:t>
      </w:r>
      <w:r>
        <w:rPr>
          <w:rFonts w:hint="eastAsia" w:ascii="仿宋_GB2312" w:hAnsi="仿宋_GB2312" w:eastAsia="仿宋_GB2312" w:cs="仿宋_GB2312"/>
          <w:bCs/>
          <w:color w:val="000000"/>
          <w:kern w:val="0"/>
          <w:sz w:val="32"/>
          <w:szCs w:val="32"/>
          <w:lang w:val="en-US" w:eastAsia="zh-CN"/>
        </w:rPr>
        <w:t>91.91</w:t>
      </w:r>
      <w:r>
        <w:rPr>
          <w:rFonts w:hint="eastAsia" w:ascii="仿宋_GB2312" w:hAnsi="仿宋_GB2312" w:eastAsia="仿宋_GB2312" w:cs="仿宋_GB2312"/>
          <w:bCs/>
          <w:color w:val="000000"/>
          <w:kern w:val="0"/>
          <w:sz w:val="32"/>
          <w:szCs w:val="32"/>
        </w:rPr>
        <w:t>%；项目支出</w:t>
      </w:r>
      <w:r>
        <w:rPr>
          <w:rFonts w:hint="eastAsia" w:ascii="仿宋_GB2312" w:hAnsi="仿宋_GB2312" w:eastAsia="仿宋_GB2312" w:cs="仿宋_GB2312"/>
          <w:bCs/>
          <w:color w:val="000000"/>
          <w:kern w:val="0"/>
          <w:sz w:val="32"/>
          <w:szCs w:val="32"/>
          <w:lang w:val="en-US" w:eastAsia="zh-CN"/>
        </w:rPr>
        <w:t>5</w:t>
      </w:r>
      <w:r>
        <w:rPr>
          <w:rFonts w:hint="eastAsia" w:ascii="仿宋_GB2312" w:hAnsi="仿宋_GB2312" w:eastAsia="仿宋_GB2312" w:cs="仿宋_GB2312"/>
          <w:bCs/>
          <w:color w:val="000000"/>
          <w:kern w:val="0"/>
          <w:sz w:val="32"/>
          <w:szCs w:val="32"/>
        </w:rPr>
        <w:t>万元，占总支出的</w:t>
      </w:r>
      <w:r>
        <w:rPr>
          <w:rFonts w:hint="eastAsia" w:ascii="仿宋_GB2312" w:hAnsi="仿宋_GB2312" w:eastAsia="仿宋_GB2312" w:cs="仿宋_GB2312"/>
          <w:bCs/>
          <w:color w:val="000000"/>
          <w:kern w:val="0"/>
          <w:sz w:val="32"/>
          <w:szCs w:val="32"/>
          <w:lang w:val="en-US" w:eastAsia="zh-CN"/>
        </w:rPr>
        <w:t>8.09</w:t>
      </w:r>
      <w:r>
        <w:rPr>
          <w:rFonts w:hint="eastAsia" w:ascii="仿宋_GB2312" w:hAnsi="仿宋_GB2312" w:eastAsia="仿宋_GB2312" w:cs="仿宋_GB2312"/>
          <w:bCs/>
          <w:color w:val="000000"/>
          <w:kern w:val="0"/>
          <w:sz w:val="32"/>
          <w:szCs w:val="32"/>
        </w:rPr>
        <w:t>%。本年支出构成为：一般公共服务支出</w:t>
      </w:r>
      <w:r>
        <w:rPr>
          <w:rFonts w:hint="eastAsia" w:ascii="仿宋_GB2312" w:hAnsi="仿宋_GB2312" w:eastAsia="仿宋_GB2312" w:cs="仿宋_GB2312"/>
          <w:bCs/>
          <w:color w:val="000000"/>
          <w:kern w:val="0"/>
          <w:sz w:val="32"/>
          <w:szCs w:val="32"/>
          <w:lang w:val="en-US" w:eastAsia="zh-CN"/>
        </w:rPr>
        <w:t>43.04</w:t>
      </w:r>
      <w:r>
        <w:rPr>
          <w:rFonts w:hint="eastAsia" w:ascii="仿宋_GB2312" w:hAnsi="仿宋_GB2312" w:eastAsia="仿宋_GB2312" w:cs="仿宋_GB2312"/>
          <w:bCs/>
          <w:color w:val="000000"/>
          <w:kern w:val="0"/>
          <w:sz w:val="32"/>
          <w:szCs w:val="32"/>
        </w:rPr>
        <w:t>万元，占本年支出</w:t>
      </w:r>
      <w:r>
        <w:rPr>
          <w:rFonts w:hint="eastAsia" w:ascii="仿宋_GB2312" w:hAnsi="仿宋_GB2312" w:eastAsia="仿宋_GB2312" w:cs="仿宋_GB2312"/>
          <w:bCs/>
          <w:color w:val="000000"/>
          <w:kern w:val="0"/>
          <w:sz w:val="32"/>
          <w:szCs w:val="32"/>
          <w:lang w:val="en-US" w:eastAsia="zh-CN"/>
        </w:rPr>
        <w:t>69.60</w:t>
      </w:r>
      <w:r>
        <w:rPr>
          <w:rFonts w:hint="eastAsia" w:ascii="仿宋_GB2312" w:hAnsi="仿宋_GB2312" w:eastAsia="仿宋_GB2312" w:cs="仿宋_GB2312"/>
          <w:bCs/>
          <w:color w:val="000000"/>
          <w:kern w:val="0"/>
          <w:sz w:val="32"/>
          <w:szCs w:val="32"/>
        </w:rPr>
        <w:t>%；社会保障和就业支出</w:t>
      </w:r>
      <w:r>
        <w:rPr>
          <w:rFonts w:hint="eastAsia" w:ascii="仿宋_GB2312" w:hAnsi="仿宋_GB2312" w:eastAsia="仿宋_GB2312" w:cs="仿宋_GB2312"/>
          <w:bCs/>
          <w:color w:val="000000"/>
          <w:kern w:val="0"/>
          <w:sz w:val="32"/>
          <w:szCs w:val="32"/>
          <w:lang w:val="en-US" w:eastAsia="zh-CN"/>
        </w:rPr>
        <w:t>15.68</w:t>
      </w:r>
      <w:r>
        <w:rPr>
          <w:rFonts w:hint="eastAsia" w:ascii="仿宋_GB2312" w:hAnsi="仿宋_GB2312" w:eastAsia="仿宋_GB2312" w:cs="仿宋_GB2312"/>
          <w:bCs/>
          <w:color w:val="000000"/>
          <w:kern w:val="0"/>
          <w:sz w:val="32"/>
          <w:szCs w:val="32"/>
        </w:rPr>
        <w:t>万元，占本年支出</w:t>
      </w:r>
      <w:r>
        <w:rPr>
          <w:rFonts w:hint="eastAsia" w:ascii="仿宋_GB2312" w:hAnsi="仿宋_GB2312" w:eastAsia="仿宋_GB2312" w:cs="仿宋_GB2312"/>
          <w:bCs/>
          <w:color w:val="000000"/>
          <w:kern w:val="0"/>
          <w:sz w:val="32"/>
          <w:szCs w:val="32"/>
          <w:lang w:val="en-US" w:eastAsia="zh-CN"/>
        </w:rPr>
        <w:t>25.36</w:t>
      </w:r>
      <w:r>
        <w:rPr>
          <w:rFonts w:hint="eastAsia" w:ascii="仿宋_GB2312" w:hAnsi="仿宋_GB2312" w:eastAsia="仿宋_GB2312" w:cs="仿宋_GB2312"/>
          <w:bCs/>
          <w:color w:val="000000"/>
          <w:kern w:val="0"/>
          <w:sz w:val="32"/>
          <w:szCs w:val="32"/>
        </w:rPr>
        <w:t>%；住房保障支出</w:t>
      </w:r>
      <w:r>
        <w:rPr>
          <w:rFonts w:hint="eastAsia" w:ascii="仿宋_GB2312" w:hAnsi="仿宋_GB2312" w:eastAsia="仿宋_GB2312" w:cs="仿宋_GB2312"/>
          <w:bCs/>
          <w:color w:val="000000"/>
          <w:kern w:val="0"/>
          <w:sz w:val="32"/>
          <w:szCs w:val="32"/>
          <w:lang w:val="en-US" w:eastAsia="zh-CN"/>
        </w:rPr>
        <w:t>3.12</w:t>
      </w:r>
      <w:r>
        <w:rPr>
          <w:rFonts w:hint="eastAsia" w:ascii="仿宋_GB2312" w:hAnsi="仿宋_GB2312" w:eastAsia="仿宋_GB2312" w:cs="仿宋_GB2312"/>
          <w:bCs/>
          <w:color w:val="000000"/>
          <w:kern w:val="0"/>
          <w:sz w:val="32"/>
          <w:szCs w:val="32"/>
        </w:rPr>
        <w:t>万元，占本年支出</w:t>
      </w:r>
      <w:r>
        <w:rPr>
          <w:rFonts w:hint="eastAsia" w:ascii="仿宋_GB2312" w:hAnsi="仿宋_GB2312" w:eastAsia="仿宋_GB2312" w:cs="仿宋_GB2312"/>
          <w:bCs/>
          <w:color w:val="000000"/>
          <w:kern w:val="0"/>
          <w:sz w:val="32"/>
          <w:szCs w:val="32"/>
          <w:lang w:val="en-US" w:eastAsia="zh-CN"/>
        </w:rPr>
        <w:t>5.04</w:t>
      </w:r>
      <w:r>
        <w:rPr>
          <w:rFonts w:hint="eastAsia" w:ascii="仿宋_GB2312" w:hAnsi="仿宋_GB2312" w:eastAsia="仿宋_GB2312" w:cs="仿宋_GB2312"/>
          <w:bCs/>
          <w:color w:val="000000"/>
          <w:kern w:val="0"/>
          <w:sz w:val="32"/>
          <w:szCs w:val="32"/>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Cs/>
          <w:color w:val="000000"/>
          <w:kern w:val="0"/>
          <w:sz w:val="32"/>
          <w:szCs w:val="32"/>
          <w:lang w:val="en-US" w:eastAsia="zh-CN" w:bidi="ar-SA"/>
        </w:rPr>
      </w:pPr>
      <w:r>
        <w:rPr>
          <w:rFonts w:hint="eastAsia" w:ascii="仿宋_GB2312" w:hAnsi="仿宋_GB2312" w:eastAsia="仿宋_GB2312" w:cs="仿宋_GB2312"/>
          <w:bCs/>
          <w:color w:val="000000"/>
          <w:kern w:val="0"/>
          <w:sz w:val="32"/>
          <w:szCs w:val="32"/>
          <w:lang w:val="en-US" w:eastAsia="zh-CN" w:bidi="ar-SA"/>
        </w:rPr>
        <w:t>支出变化的原因：（1）2023年基本支出比上年减少10.16万元，主要是2023年本单位有1人退休，相对支出减少；（2）2023年项目支出比上年增加1万元，主要是为提高经费使用质效，故对支出结构进行调整，增加了部分项目支出。</w:t>
      </w:r>
    </w:p>
    <w:p>
      <w:pPr>
        <w:widowControl/>
        <w:spacing w:line="520" w:lineRule="exact"/>
        <w:ind w:firstLine="321" w:firstLineChars="100"/>
        <w:rPr>
          <w:rFonts w:ascii="黑体" w:hAnsi="黑体" w:eastAsia="黑体" w:cs="Helvetica"/>
          <w:b/>
          <w:bCs/>
          <w:color w:val="333333"/>
          <w:kern w:val="0"/>
          <w:sz w:val="32"/>
          <w:szCs w:val="32"/>
        </w:rPr>
      </w:pPr>
      <w:r>
        <w:rPr>
          <w:rFonts w:hint="eastAsia" w:ascii="仿宋" w:hAnsi="仿宋" w:eastAsia="仿宋" w:cs="Helvetica"/>
          <w:b/>
          <w:bCs/>
          <w:color w:val="333333"/>
          <w:kern w:val="0"/>
          <w:sz w:val="32"/>
          <w:szCs w:val="32"/>
        </w:rPr>
        <w:t>　</w:t>
      </w:r>
      <w:r>
        <w:rPr>
          <w:rFonts w:hint="eastAsia" w:ascii="黑体" w:hAnsi="黑体" w:eastAsia="黑体" w:cs="Helvetica"/>
          <w:b/>
          <w:bCs/>
          <w:color w:val="333333"/>
          <w:kern w:val="0"/>
          <w:sz w:val="32"/>
          <w:szCs w:val="32"/>
        </w:rPr>
        <w:t>四、机关运行经费情况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2023年运行经费预算总额为6万元，全部为商品和服务支出。</w:t>
      </w:r>
      <w:r>
        <w:rPr>
          <w:rFonts w:hint="default" w:ascii="Times New Roman" w:hAnsi="Times New Roman" w:eastAsia="仿宋_GB2312" w:cs="Times New Roman"/>
          <w:kern w:val="2"/>
          <w:sz w:val="32"/>
          <w:szCs w:val="24"/>
          <w:lang w:val="en-US" w:eastAsia="zh-CN" w:bidi="ar-SA"/>
        </w:rPr>
        <w:t>公用经费支出</w:t>
      </w:r>
      <w:r>
        <w:rPr>
          <w:rFonts w:hint="eastAsia" w:ascii="Times New Roman" w:hAnsi="Times New Roman" w:eastAsia="仿宋_GB2312" w:cs="Times New Roman"/>
          <w:kern w:val="2"/>
          <w:sz w:val="32"/>
          <w:szCs w:val="24"/>
          <w:lang w:val="en-US" w:eastAsia="zh-CN" w:bidi="ar-SA"/>
        </w:rPr>
        <w:t>比上年减少3万元，减少33.33%。减少的原因为：本年对支出结构和公用经费定额标准进行了调整，故公用经费支出减少。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机关运行经费分项为：办公费0.8万元，物业管理费1万元，工会经费0.55万元，福利费1万元，其他交通费用1.85万元，其他商品和服务支出0.8万元。</w:t>
      </w:r>
    </w:p>
    <w:p>
      <w:pPr>
        <w:widowControl/>
        <w:spacing w:line="520" w:lineRule="exact"/>
        <w:ind w:firstLine="643" w:firstLineChars="200"/>
        <w:rPr>
          <w:rFonts w:ascii="仿宋" w:hAnsi="仿宋" w:eastAsia="仿宋" w:cs="Arial"/>
          <w:color w:val="333333"/>
          <w:kern w:val="0"/>
          <w:sz w:val="32"/>
          <w:szCs w:val="32"/>
        </w:rPr>
      </w:pPr>
      <w:r>
        <w:rPr>
          <w:rFonts w:hint="eastAsia" w:ascii="黑体" w:hAnsi="黑体" w:eastAsia="黑体" w:cs="Helvetica"/>
          <w:b/>
          <w:bCs/>
          <w:color w:val="333333"/>
          <w:kern w:val="0"/>
          <w:sz w:val="32"/>
          <w:szCs w:val="32"/>
        </w:rPr>
        <w:t>五、一般公共预算“三公”经费及增减变化情况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2023年“三公”经费预算总额0万元，与上年持平，明细如下：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因公出国（境）费0万元，与上年持平。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公务接待费0万元，与上年持平。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公务用车购置及</w:t>
      </w:r>
      <w:r>
        <w:rPr>
          <w:rFonts w:hint="eastAsia" w:ascii="仿宋_GB2312" w:hAnsi="仿宋_GB2312" w:eastAsia="仿宋_GB2312" w:cs="仿宋_GB2312"/>
          <w:color w:val="auto"/>
          <w:sz w:val="32"/>
          <w:szCs w:val="32"/>
          <w:lang w:eastAsia="zh-CN"/>
        </w:rPr>
        <w:t>运行</w:t>
      </w:r>
      <w:r>
        <w:rPr>
          <w:rFonts w:hint="eastAsia" w:ascii="仿宋_GB2312" w:hAnsi="仿宋_GB2312" w:eastAsia="仿宋_GB2312" w:cs="仿宋_GB2312"/>
          <w:color w:val="auto"/>
          <w:sz w:val="32"/>
          <w:szCs w:val="32"/>
        </w:rPr>
        <w:t>费0万元，与上年持平。我单位</w:t>
      </w: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公务用车。</w:t>
      </w:r>
    </w:p>
    <w:p>
      <w:pPr>
        <w:widowControl/>
        <w:spacing w:line="520" w:lineRule="exact"/>
        <w:ind w:firstLine="480"/>
        <w:rPr>
          <w:rFonts w:ascii="黑体" w:hAnsi="黑体" w:eastAsia="黑体" w:cs="Helvetica"/>
          <w:b/>
          <w:bCs/>
          <w:color w:val="333333"/>
          <w:kern w:val="0"/>
          <w:sz w:val="32"/>
          <w:szCs w:val="32"/>
        </w:rPr>
      </w:pPr>
      <w:r>
        <w:rPr>
          <w:rFonts w:hint="eastAsia" w:ascii="黑体" w:hAnsi="黑体" w:eastAsia="黑体" w:cs="Helvetica"/>
          <w:b/>
          <w:bCs/>
          <w:color w:val="333333"/>
          <w:kern w:val="0"/>
          <w:sz w:val="32"/>
          <w:szCs w:val="32"/>
        </w:rPr>
        <w:t>六、政府采购预算</w:t>
      </w:r>
      <w:r>
        <w:rPr>
          <w:rFonts w:hint="eastAsia" w:ascii="黑体" w:hAnsi="黑体" w:eastAsia="黑体" w:cs="Helvetica"/>
          <w:b/>
          <w:bCs/>
          <w:color w:val="333333"/>
          <w:kern w:val="0"/>
          <w:sz w:val="32"/>
          <w:szCs w:val="32"/>
          <w:lang w:eastAsia="zh-CN"/>
        </w:rPr>
        <w:t>安排</w:t>
      </w:r>
      <w:r>
        <w:rPr>
          <w:rFonts w:hint="eastAsia" w:ascii="黑体" w:hAnsi="黑体" w:eastAsia="黑体" w:cs="Helvetica"/>
          <w:b/>
          <w:bCs/>
          <w:color w:val="333333"/>
          <w:kern w:val="0"/>
          <w:sz w:val="32"/>
          <w:szCs w:val="32"/>
        </w:rPr>
        <w:t>情况</w:t>
      </w:r>
    </w:p>
    <w:p>
      <w:pPr>
        <w:keepNext w:val="0"/>
        <w:keepLines w:val="0"/>
        <w:pageBreakBefore w:val="0"/>
        <w:widowControl/>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我单位政府采购工作由省统计局统一管理，按照省财政厅要求办理政府采购业务，我单位未单独安排政府采购预算。</w:t>
      </w:r>
    </w:p>
    <w:p>
      <w:pPr>
        <w:widowControl/>
        <w:spacing w:line="520" w:lineRule="exact"/>
        <w:rPr>
          <w:rFonts w:ascii="黑体" w:hAnsi="黑体" w:eastAsia="黑体" w:cs="Helvetica"/>
          <w:b/>
          <w:bCs/>
          <w:color w:val="333333"/>
          <w:kern w:val="0"/>
          <w:sz w:val="32"/>
          <w:szCs w:val="32"/>
        </w:rPr>
      </w:pPr>
      <w:r>
        <w:rPr>
          <w:rFonts w:hint="eastAsia" w:ascii="仿宋" w:hAnsi="仿宋" w:eastAsia="仿宋" w:cs="Helvetica"/>
          <w:bCs/>
          <w:color w:val="333333"/>
          <w:kern w:val="0"/>
          <w:sz w:val="32"/>
          <w:szCs w:val="32"/>
        </w:rPr>
        <w:t>　</w:t>
      </w:r>
      <w:r>
        <w:rPr>
          <w:rFonts w:hint="eastAsia" w:ascii="仿宋" w:hAnsi="仿宋" w:eastAsia="仿宋" w:cs="Helvetica"/>
          <w:b/>
          <w:bCs/>
          <w:color w:val="333333"/>
          <w:kern w:val="0"/>
          <w:sz w:val="32"/>
          <w:szCs w:val="32"/>
        </w:rPr>
        <w:t xml:space="preserve"> </w:t>
      </w:r>
      <w:r>
        <w:rPr>
          <w:rFonts w:hint="eastAsia" w:ascii="黑体" w:hAnsi="黑体" w:eastAsia="黑体" w:cs="Helvetica"/>
          <w:b/>
          <w:bCs/>
          <w:color w:val="333333"/>
          <w:kern w:val="0"/>
          <w:sz w:val="32"/>
          <w:szCs w:val="32"/>
        </w:rPr>
        <w:t>七、国有资产占用情况</w:t>
      </w:r>
    </w:p>
    <w:p>
      <w:pPr>
        <w:keepNext w:val="0"/>
        <w:keepLines w:val="0"/>
        <w:pageBreakBefore w:val="0"/>
        <w:widowControl/>
        <w:kinsoku/>
        <w:wordWrap/>
        <w:overflowPunct/>
        <w:topLinePunct w:val="0"/>
        <w:autoSpaceDE/>
        <w:autoSpaceDN/>
        <w:bidi w:val="0"/>
        <w:adjustRightInd/>
        <w:snapToGrid/>
        <w:spacing w:line="560" w:lineRule="exact"/>
        <w:ind w:firstLine="482"/>
        <w:textAlignment w:val="auto"/>
        <w:rPr>
          <w:rFonts w:ascii="仿宋" w:hAnsi="仿宋" w:eastAsia="仿宋" w:cs="Helvetica"/>
          <w:bCs/>
          <w:color w:val="auto"/>
          <w:kern w:val="0"/>
          <w:sz w:val="32"/>
          <w:szCs w:val="32"/>
        </w:rPr>
      </w:pPr>
      <w:r>
        <w:rPr>
          <w:rFonts w:hint="eastAsia" w:ascii="仿宋_GB2312" w:hAnsi="仿宋_GB2312" w:eastAsia="仿宋_GB2312" w:cs="仿宋_GB2312"/>
          <w:b w:val="0"/>
          <w:bCs w:val="0"/>
          <w:color w:val="auto"/>
          <w:kern w:val="0"/>
          <w:sz w:val="32"/>
          <w:szCs w:val="32"/>
          <w:lang w:eastAsia="zh-CN"/>
        </w:rPr>
        <w:t>我单位未单独核算国有资产</w:t>
      </w:r>
      <w:r>
        <w:rPr>
          <w:rFonts w:hint="eastAsia" w:ascii="仿宋" w:hAnsi="仿宋" w:eastAsia="仿宋" w:cs="Helvetica"/>
          <w:bCs/>
          <w:color w:val="auto"/>
          <w:kern w:val="0"/>
          <w:sz w:val="32"/>
          <w:szCs w:val="32"/>
        </w:rPr>
        <w:t>。</w:t>
      </w:r>
    </w:p>
    <w:p>
      <w:pPr>
        <w:widowControl/>
        <w:spacing w:line="520" w:lineRule="exact"/>
        <w:ind w:firstLine="480"/>
        <w:rPr>
          <w:rFonts w:ascii="黑体" w:hAnsi="黑体" w:eastAsia="黑体" w:cs="Helvetica"/>
          <w:b/>
          <w:bCs/>
          <w:color w:val="333333"/>
          <w:kern w:val="0"/>
          <w:sz w:val="32"/>
          <w:szCs w:val="32"/>
        </w:rPr>
      </w:pPr>
      <w:r>
        <w:rPr>
          <w:rFonts w:hint="eastAsia" w:ascii="黑体" w:hAnsi="黑体" w:eastAsia="黑体" w:cs="Helvetica"/>
          <w:b/>
          <w:bCs/>
          <w:color w:val="333333"/>
          <w:kern w:val="0"/>
          <w:sz w:val="32"/>
          <w:szCs w:val="32"/>
        </w:rPr>
        <w:t>八、重点项目</w:t>
      </w:r>
      <w:r>
        <w:rPr>
          <w:rFonts w:hint="eastAsia" w:ascii="黑体" w:hAnsi="黑体" w:eastAsia="黑体" w:cs="Helvetica"/>
          <w:b/>
          <w:bCs/>
          <w:color w:val="333333"/>
          <w:kern w:val="0"/>
          <w:sz w:val="32"/>
          <w:szCs w:val="32"/>
          <w:lang w:eastAsia="zh-CN"/>
        </w:rPr>
        <w:t>预算</w:t>
      </w:r>
      <w:r>
        <w:rPr>
          <w:rFonts w:hint="eastAsia" w:ascii="黑体" w:hAnsi="黑体" w:eastAsia="黑体" w:cs="Helvetica"/>
          <w:b/>
          <w:bCs/>
          <w:color w:val="333333"/>
          <w:kern w:val="0"/>
          <w:sz w:val="32"/>
          <w:szCs w:val="32"/>
        </w:rPr>
        <w:t>绩效情况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eastAsia="zh-CN"/>
          <w14:textFill>
            <w14:solidFill>
              <w14:schemeClr w14:val="tx1"/>
            </w14:solidFill>
          </w14:textFill>
        </w:rPr>
        <w:t>“全省统计执法专项经费”主要内容是：</w:t>
      </w:r>
      <w:r>
        <w:rPr>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一是</w:t>
      </w:r>
      <w:r>
        <w:rPr>
          <w:rFonts w:hint="default" w:ascii="Times New Roman" w:hAnsi="Times New Roman" w:eastAsia="仿宋_GB2312" w:cs="Times New Roman"/>
          <w:bCs/>
          <w:color w:val="000000" w:themeColor="text1"/>
          <w:kern w:val="0"/>
          <w:sz w:val="32"/>
          <w:szCs w:val="32"/>
          <w:lang w:eastAsia="zh-CN"/>
          <w14:textFill>
            <w14:solidFill>
              <w14:schemeClr w14:val="tx1"/>
            </w14:solidFill>
          </w14:textFill>
        </w:rPr>
        <w:t>开展执法检查、督办以及数据质量核查；</w:t>
      </w:r>
      <w:r>
        <w:rPr>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二是</w:t>
      </w:r>
      <w:r>
        <w:rPr>
          <w:rFonts w:hint="default" w:ascii="Times New Roman" w:hAnsi="Times New Roman" w:eastAsia="仿宋_GB2312" w:cs="Times New Roman"/>
          <w:bCs/>
          <w:color w:val="000000" w:themeColor="text1"/>
          <w:kern w:val="0"/>
          <w:sz w:val="32"/>
          <w:szCs w:val="32"/>
          <w:lang w:eastAsia="zh-CN"/>
          <w14:textFill>
            <w14:solidFill>
              <w14:schemeClr w14:val="tx1"/>
            </w14:solidFill>
          </w14:textFill>
        </w:rPr>
        <w:t>开展统计执法宣传；</w:t>
      </w:r>
      <w:r>
        <w:rPr>
          <w:rFonts w:hint="default" w:ascii="Times New Roman" w:hAnsi="Times New Roman" w:eastAsia="仿宋_GB2312" w:cs="Times New Roman"/>
          <w:b/>
          <w:bCs w:val="0"/>
          <w:color w:val="000000" w:themeColor="text1"/>
          <w:kern w:val="0"/>
          <w:sz w:val="32"/>
          <w:szCs w:val="32"/>
          <w:lang w:eastAsia="zh-CN"/>
          <w14:textFill>
            <w14:solidFill>
              <w14:schemeClr w14:val="tx1"/>
            </w14:solidFill>
          </w14:textFill>
        </w:rPr>
        <w:t>三是</w:t>
      </w:r>
      <w:r>
        <w:rPr>
          <w:rFonts w:hint="default" w:ascii="Times New Roman" w:hAnsi="Times New Roman" w:eastAsia="仿宋_GB2312" w:cs="Times New Roman"/>
          <w:bCs/>
          <w:color w:val="000000" w:themeColor="text1"/>
          <w:kern w:val="0"/>
          <w:sz w:val="32"/>
          <w:szCs w:val="32"/>
          <w:lang w:eastAsia="zh-CN"/>
          <w14:textFill>
            <w14:solidFill>
              <w14:schemeClr w14:val="tx1"/>
            </w14:solidFill>
          </w14:textFill>
        </w:rPr>
        <w:t>其他应急执法检查和专项检查任务。</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2023年预算安排5万元，全部为当年一般公共预算财政拨款。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0"/>
          <w:sz w:val="32"/>
          <w:szCs w:val="32"/>
          <w:lang w:eastAsia="zh-CN"/>
        </w:rPr>
      </w:pPr>
      <w:r>
        <w:rPr>
          <w:rFonts w:hint="default" w:ascii="Times New Roman" w:hAnsi="Times New Roman" w:eastAsia="仿宋_GB2312" w:cs="Times New Roman"/>
          <w:bCs/>
          <w:color w:val="000000" w:themeColor="text1"/>
          <w:kern w:val="0"/>
          <w:sz w:val="32"/>
          <w:szCs w:val="32"/>
          <w:lang w:eastAsia="zh-CN"/>
          <w14:textFill>
            <w14:solidFill>
              <w14:schemeClr w14:val="tx1"/>
            </w14:solidFill>
          </w14:textFill>
        </w:rPr>
        <w:t>202</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3</w:t>
      </w:r>
      <w:r>
        <w:rPr>
          <w:rFonts w:hint="default" w:ascii="Times New Roman" w:hAnsi="Times New Roman" w:eastAsia="仿宋_GB2312" w:cs="Times New Roman"/>
          <w:bCs/>
          <w:color w:val="000000" w:themeColor="text1"/>
          <w:kern w:val="0"/>
          <w:sz w:val="32"/>
          <w:szCs w:val="32"/>
          <w:lang w:eastAsia="zh-CN"/>
          <w14:textFill>
            <w14:solidFill>
              <w14:schemeClr w14:val="tx1"/>
            </w14:solidFill>
          </w14:textFill>
        </w:rPr>
        <w:t>年度项目绩效总目标是</w:t>
      </w:r>
      <w:r>
        <w:rPr>
          <w:rFonts w:hint="default"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eastAsia="zh-CN"/>
        </w:rPr>
        <w:t>健全统计执法机制，强化统计基层基础工作建设；参与省市统计执法业务宣传与培训，提升业务水平；完成长阳土家族自治县统计调查数据的质量监测和核查工作，及时将结果上报给上级部门。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eastAsia="zh-CN"/>
          <w14:textFill>
            <w14:solidFill>
              <w14:schemeClr w14:val="tx1"/>
            </w14:solidFill>
          </w14:textFill>
        </w:rPr>
        <w:t>产出指标：</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数据质量检查频次为</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4</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次/年；</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办公用品采购验收通过</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率100%；</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数据及时按要求上报</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满意度指标</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统计法治宣传方式不低于2种。</w:t>
      </w:r>
    </w:p>
    <w:p>
      <w:pPr>
        <w:widowControl/>
        <w:spacing w:line="560" w:lineRule="exact"/>
        <w:ind w:firstLine="643" w:firstLineChars="200"/>
        <w:rPr>
          <w:rFonts w:ascii="黑体" w:hAnsi="黑体" w:eastAsia="黑体" w:cs="Helvetica"/>
          <w:b/>
          <w:bCs/>
          <w:color w:val="333333"/>
          <w:kern w:val="0"/>
          <w:sz w:val="32"/>
          <w:szCs w:val="32"/>
        </w:rPr>
      </w:pPr>
      <w:r>
        <w:rPr>
          <w:rFonts w:hint="eastAsia" w:ascii="黑体" w:hAnsi="黑体" w:eastAsia="黑体" w:cs="Helvetica"/>
          <w:b/>
          <w:bCs/>
          <w:color w:val="333333"/>
          <w:kern w:val="0"/>
          <w:sz w:val="32"/>
          <w:szCs w:val="32"/>
        </w:rPr>
        <w:t>九、其他需要说明的情况</w:t>
      </w:r>
    </w:p>
    <w:p>
      <w:pPr>
        <w:widowControl/>
        <w:spacing w:line="520" w:lineRule="exact"/>
        <w:ind w:firstLine="66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1.对空表的说明：附表7一般公共预算“三公”经费支出表，本单位2023年无“三公”经费支出，此表为空表。附表8政府性基金预算支出表，本单位2023年无此类支出，此表为空表。</w:t>
      </w:r>
    </w:p>
    <w:p>
      <w:pPr>
        <w:widowControl/>
        <w:spacing w:line="520" w:lineRule="exact"/>
        <w:ind w:firstLine="66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2.其他情况的说明：本单位2023年无财政省本级专项支出、无一般性转移支付支出、无专项转移支付支出、无举借政府债务情况。</w:t>
      </w:r>
    </w:p>
    <w:p>
      <w:pPr>
        <w:widowControl/>
        <w:spacing w:line="520" w:lineRule="exact"/>
        <w:ind w:firstLine="660"/>
        <w:rPr>
          <w:rFonts w:ascii="黑体" w:hAnsi="黑体" w:eastAsia="黑体" w:cs="Helvetica"/>
          <w:b/>
          <w:bCs/>
          <w:color w:val="333333"/>
          <w:kern w:val="0"/>
          <w:sz w:val="32"/>
          <w:szCs w:val="32"/>
        </w:rPr>
      </w:pPr>
      <w:r>
        <w:rPr>
          <w:rFonts w:hint="eastAsia" w:ascii="黑体" w:hAnsi="黑体" w:eastAsia="黑体" w:cs="Helvetica"/>
          <w:b/>
          <w:bCs/>
          <w:color w:val="333333"/>
          <w:kern w:val="0"/>
          <w:sz w:val="32"/>
          <w:szCs w:val="32"/>
        </w:rPr>
        <w:t>十</w:t>
      </w:r>
      <w:r>
        <w:rPr>
          <w:rFonts w:ascii="黑体" w:hAnsi="黑体" w:eastAsia="黑体" w:cs="Helvetica"/>
          <w:b/>
          <w:bCs/>
          <w:color w:val="333333"/>
          <w:kern w:val="0"/>
          <w:sz w:val="32"/>
          <w:szCs w:val="32"/>
        </w:rPr>
        <w:t>、</w:t>
      </w:r>
      <w:r>
        <w:rPr>
          <w:rFonts w:hint="eastAsia" w:ascii="黑体" w:hAnsi="黑体" w:eastAsia="黑体" w:cs="Helvetica"/>
          <w:b/>
          <w:bCs/>
          <w:color w:val="333333"/>
          <w:kern w:val="0"/>
          <w:sz w:val="32"/>
          <w:szCs w:val="32"/>
        </w:rPr>
        <w:t>专业名词解释</w:t>
      </w:r>
    </w:p>
    <w:p>
      <w:pPr>
        <w:widowControl/>
        <w:spacing w:line="520" w:lineRule="exact"/>
        <w:ind w:firstLine="660"/>
        <w:rPr>
          <w:rFonts w:ascii="黑体" w:hAnsi="黑体" w:eastAsia="黑体" w:cs="Helvetica"/>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1．机关运行经费：</w:t>
      </w:r>
      <w:r>
        <w:rPr>
          <w:rFonts w:hint="eastAsia" w:ascii="仿宋_GB2312" w:hAnsi="仿宋_GB2312" w:eastAsia="仿宋_GB2312" w:cs="仿宋_GB2312"/>
          <w:bCs/>
          <w:color w:val="000000" w:themeColor="text1"/>
          <w:kern w:val="0"/>
          <w:sz w:val="32"/>
          <w:szCs w:val="32"/>
          <w14:textFill>
            <w14:solidFill>
              <w14:schemeClr w14:val="tx1"/>
            </w14:solidFill>
          </w14:textFill>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w:t>
      </w:r>
      <w:r>
        <w:rPr>
          <w:rFonts w:hint="eastAsia" w:ascii="仿宋_GB2312" w:hAnsi="仿宋_GB2312" w:eastAsia="仿宋_GB2312" w:cs="仿宋_GB2312"/>
          <w:bCs/>
          <w:color w:val="000000" w:themeColor="text1"/>
          <w:kern w:val="0"/>
          <w:sz w:val="32"/>
          <w:szCs w:val="32"/>
          <w14:textFill>
            <w14:solidFill>
              <w14:schemeClr w14:val="tx1"/>
            </w14:solidFill>
          </w14:textFill>
        </w:rPr>
        <w:t>管理费、公务用车运行费以及其他费用。</w:t>
      </w:r>
    </w:p>
    <w:p>
      <w:pPr>
        <w:widowControl/>
        <w:spacing w:line="560" w:lineRule="exact"/>
        <w:ind w:firstLine="643" w:firstLineChars="200"/>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2．“三公”经费：</w:t>
      </w:r>
      <w:r>
        <w:rPr>
          <w:rFonts w:hint="eastAsia" w:ascii="仿宋_GB2312" w:hAnsi="仿宋_GB2312" w:eastAsia="仿宋_GB2312" w:cs="仿宋_GB2312"/>
          <w:bCs/>
          <w:color w:val="000000" w:themeColor="text1"/>
          <w:kern w:val="0"/>
          <w:sz w:val="32"/>
          <w:szCs w:val="32"/>
          <w14:textFill>
            <w14:solidFill>
              <w14:schemeClr w14:val="tx1"/>
            </w14:solidFill>
          </w14:textFill>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pPr>
        <w:widowControl/>
        <w:spacing w:line="560" w:lineRule="exact"/>
        <w:ind w:firstLine="643" w:firstLineChars="200"/>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3．政府采购：</w:t>
      </w:r>
      <w:r>
        <w:rPr>
          <w:rFonts w:hint="eastAsia" w:ascii="仿宋_GB2312" w:hAnsi="仿宋_GB2312" w:eastAsia="仿宋_GB2312" w:cs="仿宋_GB2312"/>
          <w:bCs/>
          <w:color w:val="000000" w:themeColor="text1"/>
          <w:kern w:val="0"/>
          <w:sz w:val="32"/>
          <w:szCs w:val="32"/>
          <w14:textFill>
            <w14:solidFill>
              <w14:schemeClr w14:val="tx1"/>
            </w14:solidFill>
          </w14:textFill>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widowControl/>
        <w:spacing w:line="560" w:lineRule="exact"/>
        <w:ind w:firstLine="643" w:firstLineChars="200"/>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4．财政拨款（补助）收入：</w:t>
      </w:r>
      <w:r>
        <w:rPr>
          <w:rFonts w:hint="eastAsia" w:ascii="仿宋_GB2312" w:hAnsi="仿宋_GB2312" w:eastAsia="仿宋_GB2312" w:cs="仿宋_GB2312"/>
          <w:bCs/>
          <w:color w:val="000000" w:themeColor="text1"/>
          <w:kern w:val="0"/>
          <w:sz w:val="32"/>
          <w:szCs w:val="32"/>
          <w14:textFill>
            <w14:solidFill>
              <w14:schemeClr w14:val="tx1"/>
            </w14:solidFill>
          </w14:textFill>
        </w:rPr>
        <w:t>指从同级财政部门取得的财政预算资金。</w:t>
      </w:r>
    </w:p>
    <w:p>
      <w:pPr>
        <w:widowControl/>
        <w:spacing w:line="560" w:lineRule="exact"/>
        <w:ind w:firstLine="643" w:firstLineChars="200"/>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5．其他收入：</w:t>
      </w:r>
      <w:r>
        <w:rPr>
          <w:rFonts w:hint="eastAsia" w:ascii="仿宋_GB2312" w:hAnsi="仿宋_GB2312" w:eastAsia="仿宋_GB2312" w:cs="仿宋_GB2312"/>
          <w:bCs/>
          <w:color w:val="000000" w:themeColor="text1"/>
          <w:kern w:val="0"/>
          <w:sz w:val="32"/>
          <w:szCs w:val="32"/>
          <w14:textFill>
            <w14:solidFill>
              <w14:schemeClr w14:val="tx1"/>
            </w14:solidFill>
          </w14:textFill>
        </w:rPr>
        <w:t>指除上述“财政拨款收入”以外任务相应安排的资金。</w:t>
      </w:r>
    </w:p>
    <w:p>
      <w:pPr>
        <w:widowControl/>
        <w:spacing w:line="560" w:lineRule="exact"/>
        <w:ind w:firstLine="643" w:firstLineChars="200"/>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6．基本支出：</w:t>
      </w:r>
      <w:r>
        <w:rPr>
          <w:rFonts w:hint="eastAsia" w:ascii="仿宋_GB2312" w:hAnsi="仿宋_GB2312" w:eastAsia="仿宋_GB2312" w:cs="仿宋_GB2312"/>
          <w:bCs/>
          <w:color w:val="000000" w:themeColor="text1"/>
          <w:kern w:val="0"/>
          <w:sz w:val="32"/>
          <w:szCs w:val="32"/>
          <w14:textFill>
            <w14:solidFill>
              <w14:schemeClr w14:val="tx1"/>
            </w14:solidFill>
          </w14:textFill>
        </w:rPr>
        <w:t>指为保障机构正常运转、完成日常工作任务而发生的人员支出和公用支出。</w:t>
      </w:r>
    </w:p>
    <w:p>
      <w:pPr>
        <w:widowControl/>
        <w:spacing w:line="560" w:lineRule="exact"/>
        <w:ind w:firstLine="643" w:firstLineChars="200"/>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7．项目支出：</w:t>
      </w:r>
      <w:r>
        <w:rPr>
          <w:rFonts w:hint="eastAsia" w:ascii="仿宋_GB2312" w:hAnsi="仿宋_GB2312" w:eastAsia="仿宋_GB2312" w:cs="仿宋_GB2312"/>
          <w:bCs/>
          <w:color w:val="000000" w:themeColor="text1"/>
          <w:kern w:val="0"/>
          <w:sz w:val="32"/>
          <w:szCs w:val="32"/>
          <w14:textFill>
            <w14:solidFill>
              <w14:schemeClr w14:val="tx1"/>
            </w14:solidFill>
          </w14:textFill>
        </w:rPr>
        <w:t>指在基本支出之外为完成特定行政任务和事业发展目标所发生的支出。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0Mzg1NjBkMDViYTgxNjY4MjE1NmFiZDAyYjhmYzUifQ=="/>
  </w:docVars>
  <w:rsids>
    <w:rsidRoot w:val="0010135B"/>
    <w:rsid w:val="0007474A"/>
    <w:rsid w:val="000F1F99"/>
    <w:rsid w:val="0010135B"/>
    <w:rsid w:val="00104384"/>
    <w:rsid w:val="001212FB"/>
    <w:rsid w:val="001F06A4"/>
    <w:rsid w:val="002144B6"/>
    <w:rsid w:val="00295E97"/>
    <w:rsid w:val="002F12C2"/>
    <w:rsid w:val="0030520C"/>
    <w:rsid w:val="00322A49"/>
    <w:rsid w:val="003E7A9D"/>
    <w:rsid w:val="004503F7"/>
    <w:rsid w:val="004D0181"/>
    <w:rsid w:val="0051352A"/>
    <w:rsid w:val="00561456"/>
    <w:rsid w:val="0057763A"/>
    <w:rsid w:val="006368CD"/>
    <w:rsid w:val="00655A33"/>
    <w:rsid w:val="006750AC"/>
    <w:rsid w:val="00683170"/>
    <w:rsid w:val="006F32D4"/>
    <w:rsid w:val="00711536"/>
    <w:rsid w:val="0074268D"/>
    <w:rsid w:val="00767043"/>
    <w:rsid w:val="007827A9"/>
    <w:rsid w:val="007A559B"/>
    <w:rsid w:val="00803BBA"/>
    <w:rsid w:val="008226AF"/>
    <w:rsid w:val="00825892"/>
    <w:rsid w:val="0089100F"/>
    <w:rsid w:val="0096313A"/>
    <w:rsid w:val="00AC2B06"/>
    <w:rsid w:val="00AC4FAF"/>
    <w:rsid w:val="00AE30B8"/>
    <w:rsid w:val="00AE7AD7"/>
    <w:rsid w:val="00B40BD2"/>
    <w:rsid w:val="00BC0C0C"/>
    <w:rsid w:val="00BD7A04"/>
    <w:rsid w:val="00C24A40"/>
    <w:rsid w:val="00C61789"/>
    <w:rsid w:val="00C906D2"/>
    <w:rsid w:val="00CC0D29"/>
    <w:rsid w:val="00D87A1D"/>
    <w:rsid w:val="00DF71BD"/>
    <w:rsid w:val="00E25628"/>
    <w:rsid w:val="00E7467E"/>
    <w:rsid w:val="00EB36A7"/>
    <w:rsid w:val="00EB3CB1"/>
    <w:rsid w:val="00EB62F2"/>
    <w:rsid w:val="00EF1D11"/>
    <w:rsid w:val="00EF7695"/>
    <w:rsid w:val="00F014E5"/>
    <w:rsid w:val="147C437B"/>
    <w:rsid w:val="16CA793F"/>
    <w:rsid w:val="176B0226"/>
    <w:rsid w:val="1ADD615B"/>
    <w:rsid w:val="1F0421FD"/>
    <w:rsid w:val="22F54D6D"/>
    <w:rsid w:val="26F074B1"/>
    <w:rsid w:val="29D6724B"/>
    <w:rsid w:val="32621546"/>
    <w:rsid w:val="337A5D65"/>
    <w:rsid w:val="37B03A86"/>
    <w:rsid w:val="3A6B2E4F"/>
    <w:rsid w:val="4C9F6A98"/>
    <w:rsid w:val="51AE1D36"/>
    <w:rsid w:val="5229036E"/>
    <w:rsid w:val="530C48E9"/>
    <w:rsid w:val="5460666A"/>
    <w:rsid w:val="56205F63"/>
    <w:rsid w:val="567C3D65"/>
    <w:rsid w:val="5707444C"/>
    <w:rsid w:val="5AF275CB"/>
    <w:rsid w:val="5CF8460C"/>
    <w:rsid w:val="60BB550B"/>
    <w:rsid w:val="682A541F"/>
    <w:rsid w:val="6C6759F6"/>
    <w:rsid w:val="6F873C60"/>
    <w:rsid w:val="781249FC"/>
    <w:rsid w:val="7A1868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szCs w:val="24"/>
    </w:r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2253</Words>
  <Characters>2394</Characters>
  <Lines>26</Lines>
  <Paragraphs>7</Paragraphs>
  <TotalTime>3</TotalTime>
  <ScaleCrop>false</ScaleCrop>
  <LinksUpToDate>false</LinksUpToDate>
  <CharactersWithSpaces>2432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2023-02-13T00:31:00Z</dcterms:created>
  <dc:creator>曹群豪(拟稿)</dc:creator>
  <cp:lastModifiedBy>13</cp:lastModifiedBy>
  <cp:lastPrinted>2023-02-14T08:29:00Z</cp:lastPrinted>
  <dcterms:modified xsi:type="dcterms:W3CDTF">2023-02-21T08:24:42Z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78AC8EACF389449F88D787DD20EE2074</vt:lpwstr>
  </property>
</Properties>
</file>