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jc w:val="center"/>
        <w:outlineLvl w:val="1"/>
        <w:rPr>
          <w:rFonts w:hint="eastAsia" w:ascii="inherit" w:hAnsi="inherit" w:eastAsia="微软雅黑" w:cs="Helvetica"/>
          <w:color w:val="262626" w:themeColor="text1" w:themeTint="D9"/>
          <w:kern w:val="0"/>
          <w:sz w:val="45"/>
          <w:szCs w:val="45"/>
          <w14:textFill>
            <w14:solidFill>
              <w14:schemeClr w14:val="tx1">
                <w14:lumMod w14:val="85000"/>
                <w14:lumOff w14:val="15000"/>
              </w14:schemeClr>
            </w14:solidFill>
          </w14:textFill>
        </w:rPr>
      </w:pPr>
    </w:p>
    <w:p>
      <w:pPr>
        <w:widowControl/>
        <w:shd w:val="clear"/>
        <w:outlineLvl w:val="1"/>
        <w:rPr>
          <w:rFonts w:hint="eastAsia" w:ascii="inherit" w:hAnsi="inherit" w:eastAsia="微软雅黑" w:cs="Helvetica"/>
          <w:color w:val="262626" w:themeColor="text1" w:themeTint="D9"/>
          <w:kern w:val="0"/>
          <w:sz w:val="45"/>
          <w:szCs w:val="45"/>
          <w14:textFill>
            <w14:solidFill>
              <w14:schemeClr w14:val="tx1">
                <w14:lumMod w14:val="85000"/>
                <w14:lumOff w14:val="15000"/>
              </w14:schemeClr>
            </w14:solidFill>
          </w14:textFill>
        </w:rPr>
      </w:pPr>
    </w:p>
    <w:p>
      <w:pPr>
        <w:widowControl/>
        <w:shd w:val="clear"/>
        <w:spacing w:line="560" w:lineRule="exact"/>
        <w:jc w:val="center"/>
        <w:outlineLvl w:val="1"/>
        <w:rPr>
          <w:rFonts w:hint="eastAsia" w:ascii="黑体" w:hAnsi="黑体" w:eastAsia="黑体" w:cs="Helvetica"/>
          <w:color w:val="262626" w:themeColor="text1" w:themeTint="D9"/>
          <w:kern w:val="0"/>
          <w:sz w:val="44"/>
          <w:szCs w:val="44"/>
          <w:lang w:eastAsia="zh-CN"/>
          <w14:textFill>
            <w14:solidFill>
              <w14:schemeClr w14:val="tx1">
                <w14:lumMod w14:val="85000"/>
                <w14:lumOff w14:val="15000"/>
              </w14:schemeClr>
            </w14:solidFill>
          </w14:textFill>
        </w:rPr>
      </w:pPr>
      <w:r>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t>湖北</w:t>
      </w:r>
      <w:r>
        <w:rPr>
          <w:rFonts w:ascii="黑体" w:hAnsi="黑体" w:eastAsia="黑体" w:cs="Helvetica"/>
          <w:color w:val="262626" w:themeColor="text1" w:themeTint="D9"/>
          <w:kern w:val="0"/>
          <w:sz w:val="44"/>
          <w:szCs w:val="44"/>
          <w14:textFill>
            <w14:solidFill>
              <w14:schemeClr w14:val="tx1">
                <w14:lumMod w14:val="85000"/>
                <w14:lumOff w14:val="15000"/>
              </w14:schemeClr>
            </w14:solidFill>
          </w14:textFill>
        </w:rPr>
        <w:t>省统计局</w:t>
      </w:r>
      <w:r>
        <w:rPr>
          <w:rFonts w:hint="eastAsia" w:ascii="黑体" w:hAnsi="黑体" w:eastAsia="黑体" w:cs="Helvetica"/>
          <w:color w:val="262626" w:themeColor="text1" w:themeTint="D9"/>
          <w:kern w:val="0"/>
          <w:sz w:val="44"/>
          <w:szCs w:val="44"/>
          <w:lang w:eastAsia="zh-CN"/>
          <w14:textFill>
            <w14:solidFill>
              <w14:schemeClr w14:val="tx1">
                <w14:lumMod w14:val="85000"/>
                <w14:lumOff w14:val="15000"/>
              </w14:schemeClr>
            </w14:solidFill>
          </w14:textFill>
        </w:rPr>
        <w:t>孝感调查监测分局</w:t>
      </w:r>
    </w:p>
    <w:p>
      <w:pPr>
        <w:widowControl/>
        <w:shd w:val="clear"/>
        <w:spacing w:line="560" w:lineRule="exact"/>
        <w:jc w:val="center"/>
        <w:outlineLvl w:val="1"/>
        <w:rPr>
          <w:rFonts w:ascii="黑体" w:hAnsi="黑体" w:eastAsia="黑体" w:cs="Helvetica"/>
          <w:color w:val="262626" w:themeColor="text1" w:themeTint="D9"/>
          <w:kern w:val="0"/>
          <w:sz w:val="44"/>
          <w:szCs w:val="44"/>
          <w14:textFill>
            <w14:solidFill>
              <w14:schemeClr w14:val="tx1">
                <w14:lumMod w14:val="85000"/>
                <w14:lumOff w14:val="15000"/>
              </w14:schemeClr>
            </w14:solidFill>
          </w14:textFill>
        </w:rPr>
      </w:pPr>
      <w:r>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t>202</w:t>
      </w:r>
      <w:r>
        <w:rPr>
          <w:rFonts w:hint="eastAsia" w:ascii="黑体" w:hAnsi="黑体" w:eastAsia="黑体" w:cs="Helvetica"/>
          <w:color w:val="262626" w:themeColor="text1" w:themeTint="D9"/>
          <w:kern w:val="0"/>
          <w:sz w:val="44"/>
          <w:szCs w:val="44"/>
          <w:lang w:val="en-US" w:eastAsia="zh-CN"/>
          <w14:textFill>
            <w14:solidFill>
              <w14:schemeClr w14:val="tx1">
                <w14:lumMod w14:val="85000"/>
                <w14:lumOff w14:val="15000"/>
              </w14:schemeClr>
            </w14:solidFill>
          </w14:textFill>
        </w:rPr>
        <w:t>3</w:t>
      </w:r>
      <w:r>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t>年单位预算公开情况</w:t>
      </w:r>
      <w:r>
        <w:rPr>
          <w:rFonts w:ascii="黑体" w:hAnsi="黑体" w:eastAsia="黑体" w:cs="Helvetica"/>
          <w:color w:val="262626" w:themeColor="text1" w:themeTint="D9"/>
          <w:kern w:val="0"/>
          <w:sz w:val="44"/>
          <w:szCs w:val="44"/>
          <w14:textFill>
            <w14:solidFill>
              <w14:schemeClr w14:val="tx1">
                <w14:lumMod w14:val="85000"/>
                <w14:lumOff w14:val="15000"/>
              </w14:schemeClr>
            </w14:solidFill>
          </w14:textFill>
        </w:rPr>
        <w:t>说明</w:t>
      </w:r>
    </w:p>
    <w:p>
      <w:pPr>
        <w:widowControl/>
        <w:shd w:val="clear"/>
        <w:rPr>
          <w:rFonts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pPr>
      <w:r>
        <w:rPr>
          <w:rFonts w:hint="eastAsia" w:ascii="微软雅黑" w:hAnsi="微软雅黑" w:eastAsia="微软雅黑" w:cs="Helvetica"/>
          <w:color w:val="262626" w:themeColor="text1" w:themeTint="D9"/>
          <w:kern w:val="0"/>
          <w:szCs w:val="21"/>
          <w14:textFill>
            <w14:solidFill>
              <w14:schemeClr w14:val="tx1">
                <w14:lumMod w14:val="85000"/>
                <w14:lumOff w14:val="15000"/>
              </w14:schemeClr>
            </w14:solidFill>
          </w14:textFill>
        </w:rPr>
        <w:t xml:space="preserve">　　                         </w:t>
      </w:r>
      <w:r>
        <w:rPr>
          <w:rFonts w:hint="eastAsia"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t xml:space="preserve"> </w:t>
      </w:r>
      <w:r>
        <w:rPr>
          <w:rFonts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t xml:space="preserve">   </w:t>
      </w:r>
      <w:r>
        <w:rPr>
          <w:rFonts w:hint="eastAsia"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t xml:space="preserve"> </w:t>
      </w:r>
    </w:p>
    <w:p>
      <w:pPr>
        <w:widowControl/>
        <w:shd w:val="clear"/>
        <w:spacing w:line="480" w:lineRule="exact"/>
        <w:jc w:val="left"/>
        <w:rPr>
          <w:rFonts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pP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一</w:t>
      </w:r>
      <w:r>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单位主要职责</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二、机构设置情况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三、预算收支及增减变化情况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四、机关运行经费情况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五、一般公共预算“三公”经费及增减变化情况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六</w:t>
      </w:r>
      <w:r>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政府采购预算安排情况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七、国有资产占用情况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八、重点项目预算绩效情况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九、其他需要说明的情况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十</w:t>
      </w:r>
      <w:r>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Helvetica"/>
          <w:b/>
          <w:bCs/>
          <w:color w:val="262626" w:themeColor="text1" w:themeTint="D9"/>
          <w:kern w:val="0"/>
          <w:sz w:val="32"/>
          <w:szCs w:val="32"/>
          <w14:textFill>
            <w14:solidFill>
              <w14:schemeClr w14:val="tx1">
                <w14:lumMod w14:val="85000"/>
                <w14:lumOff w14:val="15000"/>
              </w14:schemeClr>
            </w14:solidFill>
          </w14:textFill>
        </w:rPr>
        <w:t>专业</w:t>
      </w: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名词解释</w:t>
      </w:r>
    </w:p>
    <w:p>
      <w:pPr>
        <w:widowControl/>
        <w:shd w:val="clear"/>
        <w:spacing w:line="500" w:lineRule="exact"/>
        <w:rPr>
          <w:rFonts w:cs="Helvetica" w:asciiTheme="majorEastAsia" w:hAnsiTheme="majorEastAsia" w:eastAsiaTheme="majorEastAsia"/>
          <w:b/>
          <w:color w:val="262626" w:themeColor="text1" w:themeTint="D9"/>
          <w:kern w:val="0"/>
          <w:sz w:val="24"/>
          <w:szCs w:val="24"/>
          <w14:textFill>
            <w14:solidFill>
              <w14:schemeClr w14:val="tx1">
                <w14:lumMod w14:val="85000"/>
                <w14:lumOff w14:val="15000"/>
              </w14:schemeClr>
            </w14:solidFill>
          </w14:textFill>
        </w:rPr>
      </w:pPr>
      <w:r>
        <w:rPr>
          <w:rFonts w:hint="eastAsia" w:cs="Helvetica" w:asciiTheme="majorEastAsia" w:hAnsiTheme="majorEastAsia" w:eastAsiaTheme="majorEastAsia"/>
          <w:b/>
          <w:color w:val="262626" w:themeColor="text1" w:themeTint="D9"/>
          <w:kern w:val="0"/>
          <w:sz w:val="24"/>
          <w:szCs w:val="24"/>
          <w14:textFill>
            <w14:solidFill>
              <w14:schemeClr w14:val="tx1">
                <w14:lumMod w14:val="85000"/>
                <w14:lumOff w14:val="15000"/>
              </w14:schemeClr>
            </w14:solidFill>
          </w14:textFill>
        </w:rPr>
        <w:t>　　</w:t>
      </w: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r>
        <w:rPr>
          <w:rFonts w:hint="eastAsia"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t xml:space="preserve"> </w:t>
      </w: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keepNext w:val="0"/>
        <w:keepLines w:val="0"/>
        <w:pageBreakBefore w:val="0"/>
        <w:widowControl/>
        <w:shd w:val="clear"/>
        <w:kinsoku/>
        <w:wordWrap/>
        <w:overflowPunct/>
        <w:topLinePunct w:val="0"/>
        <w:autoSpaceDE/>
        <w:autoSpaceDN/>
        <w:bidi w:val="0"/>
        <w:adjustRightInd/>
        <w:snapToGrid/>
        <w:spacing w:line="520" w:lineRule="exact"/>
        <w:ind w:right="0" w:rightChars="0"/>
        <w:textAlignment w:val="auto"/>
        <w:outlineLvl w:val="9"/>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keepNext w:val="0"/>
        <w:keepLines w:val="0"/>
        <w:pageBreakBefore w:val="0"/>
        <w:widowControl/>
        <w:shd w:val="clear"/>
        <w:kinsoku/>
        <w:wordWrap/>
        <w:overflowPunct/>
        <w:topLinePunct w:val="0"/>
        <w:autoSpaceDE/>
        <w:autoSpaceDN/>
        <w:bidi w:val="0"/>
        <w:adjustRightInd/>
        <w:snapToGrid/>
        <w:spacing w:line="520" w:lineRule="exact"/>
        <w:ind w:right="0" w:rightChars="0"/>
        <w:textAlignment w:val="auto"/>
        <w:outlineLvl w:val="9"/>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一、单位主要职责</w:t>
      </w:r>
    </w:p>
    <w:p>
      <w:pPr>
        <w:keepNext w:val="0"/>
        <w:keepLines w:val="0"/>
        <w:pageBreakBefore w:val="0"/>
        <w:widowControl/>
        <w:shd w:val="clea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t>对孝感市统计数据质量进行监测和核查；组织实施统计调查和监测工作；参与统计执法相关工作；参与大型国情国力调查等重大统计工作；负责对县级调查队进行业务指导和协调；协助孝感市统计局开展相关工作；完成省统计局、省统计局调查监测中心交办的其他工作。</w:t>
      </w: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二、机构设置情况</w:t>
      </w:r>
    </w:p>
    <w:p>
      <w:pPr>
        <w:keepNext w:val="0"/>
        <w:keepLines w:val="0"/>
        <w:pageBreakBefore w:val="0"/>
        <w:widowControl/>
        <w:shd w:val="clear"/>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t>湖北省统计局</w:t>
      </w:r>
      <w:r>
        <w:rPr>
          <w:rFonts w:hint="eastAsia" w:ascii="仿宋" w:hAnsi="仿宋" w:eastAsia="仿宋" w:cs="Helvetica"/>
          <w:color w:val="262626" w:themeColor="text1" w:themeTint="D9"/>
          <w:kern w:val="0"/>
          <w:sz w:val="32"/>
          <w:szCs w:val="32"/>
          <w:lang w:eastAsia="zh-CN"/>
          <w14:textFill>
            <w14:solidFill>
              <w14:schemeClr w14:val="tx1">
                <w14:lumMod w14:val="85000"/>
                <w14:lumOff w14:val="15000"/>
              </w14:schemeClr>
            </w14:solidFill>
          </w14:textFill>
        </w:rPr>
        <w:t>孝感调查监测分局</w:t>
      </w:r>
      <w:r>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t>内设</w:t>
      </w:r>
      <w:r>
        <w:rPr>
          <w:rFonts w:hint="eastAsia" w:ascii="仿宋" w:hAnsi="仿宋" w:eastAsia="仿宋" w:cs="Helvetica"/>
          <w:color w:val="262626" w:themeColor="text1" w:themeTint="D9"/>
          <w:kern w:val="0"/>
          <w:sz w:val="32"/>
          <w:szCs w:val="32"/>
          <w:lang w:val="en-US" w:eastAsia="zh-CN"/>
          <w14:textFill>
            <w14:solidFill>
              <w14:schemeClr w14:val="tx1">
                <w14:lumMod w14:val="85000"/>
                <w14:lumOff w14:val="15000"/>
              </w14:schemeClr>
            </w14:solidFill>
          </w14:textFill>
        </w:rPr>
        <w:t>2个科室</w:t>
      </w:r>
      <w:r>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t>：调查监测一科、调查监测二科。</w:t>
      </w:r>
    </w:p>
    <w:p>
      <w:pPr>
        <w:keepNext w:val="0"/>
        <w:keepLines w:val="0"/>
        <w:pageBreakBefore w:val="0"/>
        <w:widowControl/>
        <w:shd w:val="clear"/>
        <w:kinsoku/>
        <w:wordWrap/>
        <w:overflowPunct/>
        <w:topLinePunct w:val="0"/>
        <w:autoSpaceDE/>
        <w:autoSpaceDN/>
        <w:bidi w:val="0"/>
        <w:adjustRightInd/>
        <w:snapToGrid/>
        <w:spacing w:line="480" w:lineRule="exact"/>
        <w:ind w:left="0" w:leftChars="0" w:right="0" w:rightChars="0" w:firstLine="642" w:firstLineChars="200"/>
        <w:jc w:val="left"/>
        <w:textAlignment w:val="auto"/>
        <w:outlineLvl w:val="9"/>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pPr>
      <w:r>
        <w:rPr>
          <w:rFonts w:hint="eastAsia" w:ascii="楷体" w:hAnsi="楷体" w:eastAsia="楷体" w:cs="Helvetica"/>
          <w:b/>
          <w:color w:val="262626" w:themeColor="text1" w:themeTint="D9"/>
          <w:kern w:val="0"/>
          <w:sz w:val="32"/>
          <w:szCs w:val="32"/>
          <w:lang w:val="en-US" w:eastAsia="zh-CN"/>
          <w14:textFill>
            <w14:solidFill>
              <w14:schemeClr w14:val="tx1">
                <w14:lumMod w14:val="85000"/>
                <w14:lumOff w14:val="15000"/>
              </w14:schemeClr>
            </w14:solidFill>
          </w14:textFill>
        </w:rPr>
        <w:t>1.</w:t>
      </w:r>
      <w:r>
        <w:rPr>
          <w:rFonts w:hint="eastAsia" w:ascii="楷体" w:hAnsi="楷体" w:eastAsia="楷体" w:cs="Helvetica"/>
          <w:b/>
          <w:color w:val="262626" w:themeColor="text1" w:themeTint="D9"/>
          <w:kern w:val="0"/>
          <w:sz w:val="32"/>
          <w:szCs w:val="32"/>
          <w14:textFill>
            <w14:solidFill>
              <w14:schemeClr w14:val="tx1">
                <w14:lumMod w14:val="85000"/>
                <w14:lumOff w14:val="15000"/>
              </w14:schemeClr>
            </w14:solidFill>
          </w14:textFill>
        </w:rPr>
        <w:t>调查监测一科的主要职责：</w:t>
      </w:r>
      <w:r>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t>负责统计数据质量监测和核查；负责分局的日常管理和综合协调；负责县级调查队相关业务指导和协调；组织开展相关统计调查和监测工作；参与统计执法相关工作；参与大型国情国力调查等重大统计工作；协助孝感市统计局开展相关工作；完成省统计局、省统计局调查监测中心交办的其他工作。</w:t>
      </w:r>
    </w:p>
    <w:p>
      <w:pPr>
        <w:keepNext w:val="0"/>
        <w:keepLines w:val="0"/>
        <w:pageBreakBefore w:val="0"/>
        <w:widowControl/>
        <w:shd w:val="clear"/>
        <w:kinsoku/>
        <w:wordWrap/>
        <w:overflowPunct/>
        <w:topLinePunct w:val="0"/>
        <w:autoSpaceDE/>
        <w:autoSpaceDN/>
        <w:bidi w:val="0"/>
        <w:adjustRightInd/>
        <w:snapToGrid/>
        <w:spacing w:line="480" w:lineRule="exact"/>
        <w:ind w:left="0" w:leftChars="0" w:right="0" w:rightChars="0" w:firstLine="642" w:firstLineChars="200"/>
        <w:jc w:val="left"/>
        <w:textAlignment w:val="auto"/>
        <w:outlineLvl w:val="9"/>
        <w:rPr>
          <w:rFonts w:ascii="仿宋" w:hAnsi="仿宋" w:eastAsia="仿宋" w:cs="Helvetica"/>
          <w:color w:val="262626" w:themeColor="text1" w:themeTint="D9"/>
          <w:kern w:val="0"/>
          <w:sz w:val="32"/>
          <w:szCs w:val="32"/>
          <w14:textFill>
            <w14:solidFill>
              <w14:schemeClr w14:val="tx1">
                <w14:lumMod w14:val="85000"/>
                <w14:lumOff w14:val="15000"/>
              </w14:schemeClr>
            </w14:solidFill>
          </w14:textFill>
        </w:rPr>
      </w:pPr>
      <w:r>
        <w:rPr>
          <w:rFonts w:hint="eastAsia" w:ascii="楷体" w:hAnsi="楷体" w:eastAsia="楷体" w:cs="Helvetica"/>
          <w:b/>
          <w:color w:val="262626" w:themeColor="text1" w:themeTint="D9"/>
          <w:kern w:val="0"/>
          <w:sz w:val="32"/>
          <w:szCs w:val="32"/>
          <w:lang w:val="en-US" w:eastAsia="zh-CN"/>
          <w14:textFill>
            <w14:solidFill>
              <w14:schemeClr w14:val="tx1">
                <w14:lumMod w14:val="85000"/>
                <w14:lumOff w14:val="15000"/>
              </w14:schemeClr>
            </w14:solidFill>
          </w14:textFill>
        </w:rPr>
        <w:t>2.</w:t>
      </w:r>
      <w:r>
        <w:rPr>
          <w:rFonts w:hint="eastAsia" w:ascii="楷体" w:hAnsi="楷体" w:eastAsia="楷体" w:cs="Helvetica"/>
          <w:b/>
          <w:color w:val="262626" w:themeColor="text1" w:themeTint="D9"/>
          <w:kern w:val="0"/>
          <w:sz w:val="32"/>
          <w:szCs w:val="32"/>
          <w14:textFill>
            <w14:solidFill>
              <w14:schemeClr w14:val="tx1">
                <w14:lumMod w14:val="85000"/>
                <w14:lumOff w14:val="15000"/>
              </w14:schemeClr>
            </w14:solidFill>
          </w14:textFill>
        </w:rPr>
        <w:t>调查监测二科的主要职责：</w:t>
      </w:r>
      <w:r>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t>负责统计数据质量监测和核查；负责对县级调查队开展相关业务指导；开展统计执法相关工作；参与大型国情国力调查等重大统计工作；协助孝感市统计局开展相关工作；完成省统计局、省统计局调查监测中心交办的其他工作。</w:t>
      </w: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三、预算收支及增减变化情况</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2" w:firstLineChars="200"/>
        <w:textAlignment w:val="auto"/>
        <w:outlineLvl w:val="9"/>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pPr>
      <w:r>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1.</w:t>
      </w: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预算收入情况</w:t>
      </w:r>
      <w:r>
        <w:rPr>
          <w:rFonts w:hint="eastAsia" w:ascii="楷体" w:hAnsi="楷体" w:eastAsia="楷体" w:cs="Helvetica"/>
          <w:b/>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2023</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年本年</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收入</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315.2</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万元，比上年增加</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48</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元，</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增长</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17.96</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。其中，经费拨款</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315.2</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万元，占本年收入的</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100</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%，无上</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年结转经费和其他收入预算。</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eastAsia="仿宋_GB2312"/>
          <w:color w:val="262626" w:themeColor="text1" w:themeTint="D9"/>
          <w:sz w:val="32"/>
          <w14:textFill>
            <w14:solidFill>
              <w14:schemeClr w14:val="tx1">
                <w14:lumMod w14:val="85000"/>
                <w14:lumOff w14:val="15000"/>
              </w14:schemeClr>
            </w14:solidFill>
          </w14:textFill>
        </w:rPr>
      </w:pPr>
      <w:r>
        <w:rPr>
          <w:rFonts w:hint="eastAsia" w:ascii="仿宋_GB2312" w:eastAsia="仿宋_GB2312"/>
          <w:color w:val="262626" w:themeColor="text1" w:themeTint="D9"/>
          <w:sz w:val="32"/>
          <w14:textFill>
            <w14:solidFill>
              <w14:schemeClr w14:val="tx1">
                <w14:lumMod w14:val="85000"/>
                <w14:lumOff w14:val="15000"/>
              </w14:schemeClr>
            </w14:solidFill>
          </w14:textFill>
        </w:rPr>
        <w:t>收入增加原因：经费拨款增加</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48</w:t>
      </w:r>
      <w:r>
        <w:rPr>
          <w:rFonts w:hint="eastAsia" w:ascii="仿宋_GB2312" w:eastAsia="仿宋_GB2312"/>
          <w:color w:val="262626" w:themeColor="text1" w:themeTint="D9"/>
          <w:sz w:val="32"/>
          <w14:textFill>
            <w14:solidFill>
              <w14:schemeClr w14:val="tx1">
                <w14:lumMod w14:val="85000"/>
                <w14:lumOff w14:val="15000"/>
              </w14:schemeClr>
            </w14:solidFill>
          </w14:textFill>
        </w:rPr>
        <w:t>万元。</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2" w:firstLineChars="200"/>
        <w:textAlignment w:val="auto"/>
        <w:outlineLvl w:val="9"/>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2</w:t>
      </w:r>
      <w:r>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w:t>
      </w: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预算支</w:t>
      </w:r>
      <w:r>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出</w:t>
      </w: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情况：</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2023</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年本年支出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315.2</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比上年</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增加</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48</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元，</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增长</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17.96</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。其中，基本支出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287.2</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万元，占总支出的</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91.12</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%；项目支出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28</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万元，占总支出的</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8.88</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%。本年支出构成为：一般公共服务支出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249.31</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万元，占本年</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支出</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79.1</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%；社会保障和就业支出</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45.59</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万元，占本年支出</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14.46</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住房保障支出</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20.3</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万元，占本年支出</w:t>
      </w:r>
      <w:r>
        <w:rPr>
          <w:rFonts w:hint="eastAsia" w:ascii="仿宋" w:hAnsi="仿宋" w:eastAsia="仿宋" w:cs="仿宋"/>
          <w:bCs/>
          <w:color w:val="262626" w:themeColor="text1" w:themeTint="D9"/>
          <w:kern w:val="0"/>
          <w:sz w:val="32"/>
          <w:szCs w:val="32"/>
          <w:lang w:val="en-US" w:eastAsia="zh-CN"/>
          <w14:textFill>
            <w14:solidFill>
              <w14:schemeClr w14:val="tx1">
                <w14:lumMod w14:val="85000"/>
                <w14:lumOff w14:val="15000"/>
              </w14:schemeClr>
            </w14:solidFill>
          </w14:textFill>
        </w:rPr>
        <w:t>6.44</w:t>
      </w:r>
      <w:r>
        <w:rPr>
          <w:rFonts w:hint="eastAsia" w:ascii="仿宋" w:hAnsi="仿宋" w:eastAsia="仿宋" w:cs="仿宋"/>
          <w:bCs/>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outlineLvl w:val="9"/>
        <w:rPr>
          <w:rFonts w:ascii="仿宋" w:hAnsi="仿宋" w:eastAsia="仿宋" w:cs="仿宋_GB2312"/>
          <w:bCs/>
          <w:color w:val="262626" w:themeColor="text1" w:themeTint="D9"/>
          <w:sz w:val="32"/>
          <w:szCs w:val="32"/>
          <w14:textFill>
            <w14:solidFill>
              <w14:schemeClr w14:val="tx1">
                <w14:lumMod w14:val="85000"/>
                <w14:lumOff w14:val="15000"/>
              </w14:schemeClr>
            </w14:solidFill>
          </w14:textFill>
        </w:rPr>
      </w:pP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支出增加原因：（1）</w:t>
      </w:r>
      <w:r>
        <w:rPr>
          <w:rFonts w:hint="eastAsia" w:ascii="仿宋_GB2312" w:eastAsia="仿宋_GB2312" w:cstheme="minorBidi"/>
          <w:color w:val="262626" w:themeColor="text1" w:themeTint="D9"/>
          <w:kern w:val="2"/>
          <w:sz w:val="32"/>
          <w:lang w:eastAsia="zh-CN"/>
          <w14:textFill>
            <w14:solidFill>
              <w14:schemeClr w14:val="tx1">
                <w14:lumMod w14:val="85000"/>
                <w14:lumOff w14:val="15000"/>
              </w14:schemeClr>
            </w14:solidFill>
          </w14:textFill>
        </w:rPr>
        <w:t>2023</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年基本支出比上年增加</w:t>
      </w:r>
      <w:r>
        <w:rPr>
          <w:rFonts w:hint="eastAsia" w:ascii="仿宋" w:hAnsi="仿宋" w:eastAsia="仿宋" w:cs="仿宋_GB2312"/>
          <w:bCs/>
          <w:color w:val="262626" w:themeColor="text1" w:themeTint="D9"/>
          <w:sz w:val="32"/>
          <w:szCs w:val="32"/>
          <w:lang w:val="en-US" w:eastAsia="zh-CN"/>
          <w14:textFill>
            <w14:solidFill>
              <w14:schemeClr w14:val="tx1">
                <w14:lumMod w14:val="85000"/>
                <w14:lumOff w14:val="15000"/>
              </w14:schemeClr>
            </w14:solidFill>
          </w14:textFill>
        </w:rPr>
        <w:t>45</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万元，主要是基本工资</w:t>
      </w:r>
      <w:r>
        <w:rPr>
          <w:rFonts w:ascii="仿宋_GB2312" w:eastAsia="仿宋_GB2312" w:cstheme="minorBidi"/>
          <w:color w:val="262626" w:themeColor="text1" w:themeTint="D9"/>
          <w:kern w:val="2"/>
          <w:sz w:val="32"/>
          <w14:textFill>
            <w14:solidFill>
              <w14:schemeClr w14:val="tx1">
                <w14:lumMod w14:val="85000"/>
                <w14:lumOff w14:val="15000"/>
              </w14:schemeClr>
            </w14:solidFill>
          </w14:textFill>
        </w:rPr>
        <w:t>调标与绩效</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的支出增加；（2）</w:t>
      </w:r>
      <w:r>
        <w:rPr>
          <w:rFonts w:hint="eastAsia" w:ascii="仿宋_GB2312" w:eastAsia="仿宋_GB2312" w:cstheme="minorBidi"/>
          <w:color w:val="262626" w:themeColor="text1" w:themeTint="D9"/>
          <w:kern w:val="2"/>
          <w:sz w:val="32"/>
          <w:lang w:eastAsia="zh-CN"/>
          <w14:textFill>
            <w14:solidFill>
              <w14:schemeClr w14:val="tx1">
                <w14:lumMod w14:val="85000"/>
                <w14:lumOff w14:val="15000"/>
              </w14:schemeClr>
            </w14:solidFill>
          </w14:textFill>
        </w:rPr>
        <w:t>2023</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年项目支出比上年</w:t>
      </w:r>
      <w:r>
        <w:rPr>
          <w:rFonts w:hint="eastAsia" w:ascii="仿宋_GB2312" w:eastAsia="仿宋_GB2312" w:cstheme="minorBidi"/>
          <w:color w:val="262626" w:themeColor="text1" w:themeTint="D9"/>
          <w:kern w:val="2"/>
          <w:sz w:val="32"/>
          <w:lang w:eastAsia="zh-CN"/>
          <w14:textFill>
            <w14:solidFill>
              <w14:schemeClr w14:val="tx1">
                <w14:lumMod w14:val="85000"/>
                <w14:lumOff w14:val="15000"/>
              </w14:schemeClr>
            </w14:solidFill>
          </w14:textFill>
        </w:rPr>
        <w:t>增加</w:t>
      </w:r>
      <w:r>
        <w:rPr>
          <w:rFonts w:hint="eastAsia" w:ascii="仿宋_GB2312" w:eastAsia="仿宋_GB2312" w:cstheme="minorBidi"/>
          <w:color w:val="262626" w:themeColor="text1" w:themeTint="D9"/>
          <w:kern w:val="2"/>
          <w:sz w:val="32"/>
          <w:lang w:val="en-US" w:eastAsia="zh-CN"/>
          <w14:textFill>
            <w14:solidFill>
              <w14:schemeClr w14:val="tx1">
                <w14:lumMod w14:val="85000"/>
                <w14:lumOff w14:val="15000"/>
              </w14:schemeClr>
            </w14:solidFill>
          </w14:textFill>
        </w:rPr>
        <w:t>3</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万元，主要是</w:t>
      </w:r>
      <w:r>
        <w:rPr>
          <w:rFonts w:hint="eastAsia" w:ascii="仿宋_GB2312" w:eastAsia="仿宋_GB2312" w:cstheme="minorBidi"/>
          <w:color w:val="262626" w:themeColor="text1" w:themeTint="D9"/>
          <w:kern w:val="2"/>
          <w:sz w:val="32"/>
          <w:lang w:eastAsia="zh-CN"/>
          <w14:textFill>
            <w14:solidFill>
              <w14:schemeClr w14:val="tx1">
                <w14:lumMod w14:val="85000"/>
                <w14:lumOff w14:val="15000"/>
              </w14:schemeClr>
            </w14:solidFill>
          </w14:textFill>
        </w:rPr>
        <w:t>加大对乡村、企业等基层统计人员的统计法宣传力度，增加培训人次和频率</w:t>
      </w:r>
      <w:r>
        <w:rPr>
          <w:rFonts w:ascii="仿宋" w:hAnsi="仿宋" w:eastAsia="仿宋" w:cs="仿宋_GB2312"/>
          <w:bCs/>
          <w:color w:val="262626" w:themeColor="text1" w:themeTint="D9"/>
          <w:sz w:val="32"/>
          <w:szCs w:val="32"/>
          <w14:textFill>
            <w14:solidFill>
              <w14:schemeClr w14:val="tx1">
                <w14:lumMod w14:val="85000"/>
                <w14:lumOff w14:val="15000"/>
              </w14:schemeClr>
            </w14:solidFill>
          </w14:textFill>
        </w:rPr>
        <w:t>。</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2" w:firstLineChars="200"/>
        <w:textAlignment w:val="auto"/>
        <w:outlineLvl w:val="9"/>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四、机关运行经费安排情况</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2023</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年运行经费预算总额为</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46</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全部</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为</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商品和服务支出，日常公用支出比上年增加</w:t>
      </w:r>
      <w:r>
        <w:rPr>
          <w:rFonts w:hint="eastAsia" w:ascii="仿宋" w:hAnsi="仿宋" w:eastAsia="仿宋" w:cs="Arial"/>
          <w:color w:val="262626" w:themeColor="text1" w:themeTint="D9"/>
          <w:sz w:val="32"/>
          <w:szCs w:val="32"/>
          <w:lang w:val="en-US" w:eastAsia="zh-CN"/>
          <w14:textFill>
            <w14:solidFill>
              <w14:schemeClr w14:val="tx1">
                <w14:lumMod w14:val="85000"/>
                <w14:lumOff w14:val="15000"/>
              </w14:schemeClr>
            </w14:solidFill>
          </w14:textFill>
        </w:rPr>
        <w:t>7.5</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万</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元，</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增长</w:t>
      </w:r>
      <w:r>
        <w:rPr>
          <w:rFonts w:hint="eastAsia" w:ascii="仿宋" w:hAnsi="仿宋" w:eastAsia="仿宋" w:cs="Arial"/>
          <w:color w:val="262626" w:themeColor="text1" w:themeTint="D9"/>
          <w:sz w:val="32"/>
          <w:szCs w:val="32"/>
          <w:lang w:val="en-US" w:eastAsia="zh-CN"/>
          <w14:textFill>
            <w14:solidFill>
              <w14:schemeClr w14:val="tx1">
                <w14:lumMod w14:val="85000"/>
                <w14:lumOff w14:val="15000"/>
              </w14:schemeClr>
            </w14:solidFill>
          </w14:textFill>
        </w:rPr>
        <w:t>19.48</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增加原因主要是：</w:t>
      </w:r>
      <w:r>
        <w:rPr>
          <w:rFonts w:hint="eastAsia" w:ascii="仿宋" w:hAnsi="仿宋" w:eastAsia="仿宋" w:cs="Arial"/>
          <w:color w:val="262626" w:themeColor="text1" w:themeTint="D9"/>
          <w:sz w:val="32"/>
          <w:szCs w:val="32"/>
          <w:lang w:eastAsia="zh-CN"/>
          <w14:textFill>
            <w14:solidFill>
              <w14:schemeClr w14:val="tx1">
                <w14:lumMod w14:val="85000"/>
                <w14:lumOff w14:val="15000"/>
              </w14:schemeClr>
            </w14:solidFill>
          </w14:textFill>
        </w:rPr>
        <w:t>加大统计法宣传力</w:t>
      </w:r>
      <w:r>
        <w:rPr>
          <w:rFonts w:hint="eastAsia" w:ascii="仿宋" w:hAnsi="仿宋" w:eastAsia="仿宋" w:cs="仿宋"/>
          <w:color w:val="262626" w:themeColor="text1" w:themeTint="D9"/>
          <w:sz w:val="32"/>
          <w:szCs w:val="32"/>
          <w:lang w:eastAsia="zh-CN"/>
          <w14:textFill>
            <w14:solidFill>
              <w14:schemeClr w14:val="tx1">
                <w14:lumMod w14:val="85000"/>
                <w14:lumOff w14:val="15000"/>
              </w14:schemeClr>
            </w14:solidFill>
          </w14:textFill>
        </w:rPr>
        <w:t>度，增强数据质量核查</w:t>
      </w:r>
      <w:r>
        <w:rPr>
          <w:rFonts w:hint="eastAsia" w:ascii="仿宋" w:hAnsi="仿宋" w:eastAsia="仿宋" w:cs="仿宋"/>
          <w:color w:val="262626" w:themeColor="text1" w:themeTint="D9"/>
          <w:sz w:val="32"/>
          <w:szCs w:val="32"/>
          <w:lang w:eastAsia="zh-CN"/>
          <w14:textFill>
            <w14:solidFill>
              <w14:schemeClr w14:val="tx1">
                <w14:lumMod w14:val="85000"/>
                <w14:lumOff w14:val="15000"/>
              </w14:schemeClr>
            </w14:solidFill>
          </w14:textFill>
        </w:rPr>
        <w:t>力度</w:t>
      </w:r>
      <w:r>
        <w:rPr>
          <w:rFonts w:hint="eastAsia" w:ascii="仿宋" w:hAnsi="仿宋" w:eastAsia="仿宋" w:cs="仿宋"/>
          <w:color w:val="262626" w:themeColor="text1" w:themeTint="D9"/>
          <w:sz w:val="32"/>
          <w:szCs w:val="32"/>
          <w:lang w:val="en-US" w:eastAsia="zh-CN"/>
          <w14:textFill>
            <w14:solidFill>
              <w14:schemeClr w14:val="tx1">
                <w14:lumMod w14:val="85000"/>
                <w14:lumOff w14:val="15000"/>
              </w14:schemeClr>
            </w14:solidFill>
          </w14:textFill>
        </w:rPr>
        <w:t>,</w:t>
      </w:r>
      <w:r>
        <w:rPr>
          <w:rFonts w:hint="eastAsia" w:ascii="仿宋" w:hAnsi="仿宋" w:eastAsia="仿宋" w:cs="仿宋"/>
          <w:color w:val="262626" w:themeColor="text1" w:themeTint="D9"/>
          <w:kern w:val="2"/>
          <w:sz w:val="32"/>
          <w:lang w:eastAsia="zh-CN"/>
          <w14:textFill>
            <w14:solidFill>
              <w14:schemeClr w14:val="tx1">
                <w14:lumMod w14:val="85000"/>
                <w14:lumOff w14:val="15000"/>
              </w14:schemeClr>
            </w14:solidFill>
          </w14:textFill>
        </w:rPr>
        <w:t>增加培训人次和频率</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Arial"/>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机</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关运</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行</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经费</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分项为：办公费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3.85</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，印刷费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0.5万元，水费0.15万元，</w:t>
      </w:r>
      <w:bookmarkStart w:id="0" w:name="_GoBack"/>
      <w:bookmarkEnd w:id="0"/>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电费1.5万元，</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邮电费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3.1</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，物业管理费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2.1万元，</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差旅费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4.23</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公务接待费0.</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4</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劳务费0.</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54</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，委托业务费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0.8万元，</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工会经费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4.7</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福利费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8.78</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其他交通费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12.25</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其他商品和服务支出</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3.1</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2" w:firstLineChars="200"/>
        <w:textAlignment w:val="auto"/>
        <w:outlineLvl w:val="9"/>
        <w:rPr>
          <w:rFonts w:ascii="仿宋" w:hAnsi="仿宋" w:eastAsia="仿宋" w:cs="Arial"/>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五、一般公共预算“三公”经费及增减变化情况</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2023年“三公”经费预算总额</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0.4</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万元，比上年减少</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0.1万元</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，明细如下：</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1</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因公出国（境）费0万元，与上年持平。</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2</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公务接待费0</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.4</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万元，比上年减少</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0.1万元</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ascii="仿宋" w:hAnsi="仿宋" w:eastAsia="仿宋" w:cs="Arial"/>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3</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公务用车购置及运行费0万元，与上年持平。我单位公务用车全部由局机关统一管理，统一核算，故没有安排公务用车运行费相关预算</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2" w:firstLineChars="200"/>
        <w:textAlignment w:val="auto"/>
        <w:outlineLvl w:val="9"/>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六、政府采购预算情况</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我单位政府采购</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均</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由省</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局机关</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统一管理，</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统一</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按照省财政要求</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办理政府采购业务，</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本</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单位</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没有</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安排政府采购预算。</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2" w:firstLineChars="200"/>
        <w:textAlignment w:val="auto"/>
        <w:outlineLvl w:val="9"/>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七、国有资产占用情况</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我单位固定资产均由</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市</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局机关统一管理，</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统一</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按照</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省</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市</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财政要求，管理</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核算</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国有资产，</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本单位</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没有</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单独</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核算国有资产</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2" w:firstLineChars="200"/>
        <w:textAlignment w:val="auto"/>
        <w:outlineLvl w:val="9"/>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八、重点项目绩效情况</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“全省统计执法专项经费”主要内容是：</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一是</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组织领导、协调管理和指导全市统计调查工作，确保统计调查数据真实、准确、及时；</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二是</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组织实施各专业统计调查，生产和提供统计调查数据；</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三是</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组织开展数据质量核查、新增单位事后检查、单位清查、调查回访，进一步提升统计基层基础工作，提升数据质量进行；</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四是</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统计调查数据评估、统计调查预测和统计监督，向市委、市政府及有关部门提供统计信息和咨询建议；</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五是</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指导统计基层基础工作和规范化建设；</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六是</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完成上级主管部门、市委市政府交办的其他事项。</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2023</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年</w:t>
      </w:r>
      <w:r>
        <w:rPr>
          <w:rFonts w:hint="eastAsia" w:ascii="仿宋_GB2312" w:eastAsia="仿宋_GB2312"/>
          <w:color w:val="262626" w:themeColor="text1" w:themeTint="D9"/>
          <w:sz w:val="32"/>
          <w14:textFill>
            <w14:solidFill>
              <w14:schemeClr w14:val="tx1">
                <w14:lumMod w14:val="85000"/>
                <w14:lumOff w14:val="15000"/>
              </w14:schemeClr>
            </w14:solidFill>
          </w14:textFill>
        </w:rPr>
        <w:t>预算安排</w:t>
      </w:r>
      <w:r>
        <w:rPr>
          <w:rFonts w:hint="eastAsia" w:ascii="仿宋_GB2312" w:eastAsia="仿宋_GB2312"/>
          <w:color w:val="262626" w:themeColor="text1" w:themeTint="D9"/>
          <w:sz w:val="32"/>
          <w:lang w:val="en-US" w:eastAsia="zh-CN"/>
          <w14:textFill>
            <w14:solidFill>
              <w14:schemeClr w14:val="tx1">
                <w14:lumMod w14:val="85000"/>
                <w14:lumOff w14:val="15000"/>
              </w14:schemeClr>
            </w14:solidFill>
          </w14:textFill>
        </w:rPr>
        <w:t>28</w:t>
      </w:r>
      <w:r>
        <w:rPr>
          <w:rFonts w:hint="eastAsia" w:ascii="仿宋_GB2312" w:eastAsia="仿宋_GB2312"/>
          <w:color w:val="262626" w:themeColor="text1" w:themeTint="D9"/>
          <w:sz w:val="32"/>
          <w14:textFill>
            <w14:solidFill>
              <w14:schemeClr w14:val="tx1">
                <w14:lumMod w14:val="85000"/>
                <w14:lumOff w14:val="15000"/>
              </w14:schemeClr>
            </w14:solidFill>
          </w14:textFill>
        </w:rPr>
        <w:t>万元</w:t>
      </w:r>
      <w:r>
        <w:rPr>
          <w:rFonts w:ascii="仿宋_GB2312" w:eastAsia="仿宋_GB2312"/>
          <w:color w:val="262626" w:themeColor="text1" w:themeTint="D9"/>
          <w:sz w:val="32"/>
          <w14:textFill>
            <w14:solidFill>
              <w14:schemeClr w14:val="tx1">
                <w14:lumMod w14:val="85000"/>
                <w14:lumOff w14:val="15000"/>
              </w14:schemeClr>
            </w14:solidFill>
          </w14:textFill>
        </w:rPr>
        <w:t>，</w:t>
      </w:r>
      <w:r>
        <w:rPr>
          <w:rFonts w:hint="eastAsia" w:ascii="仿宋_GB2312" w:eastAsia="仿宋_GB2312"/>
          <w:color w:val="262626" w:themeColor="text1" w:themeTint="D9"/>
          <w:sz w:val="32"/>
          <w14:textFill>
            <w14:solidFill>
              <w14:schemeClr w14:val="tx1">
                <w14:lumMod w14:val="85000"/>
                <w14:lumOff w14:val="15000"/>
              </w14:schemeClr>
            </w14:solidFill>
          </w14:textFill>
        </w:rPr>
        <w:t>全部</w:t>
      </w:r>
      <w:r>
        <w:rPr>
          <w:rFonts w:ascii="仿宋_GB2312" w:eastAsia="仿宋_GB2312"/>
          <w:color w:val="262626" w:themeColor="text1" w:themeTint="D9"/>
          <w:sz w:val="32"/>
          <w14:textFill>
            <w14:solidFill>
              <w14:schemeClr w14:val="tx1">
                <w14:lumMod w14:val="85000"/>
                <w14:lumOff w14:val="15000"/>
              </w14:schemeClr>
            </w14:solidFill>
          </w14:textFill>
        </w:rPr>
        <w:t>为</w:t>
      </w:r>
      <w:r>
        <w:rPr>
          <w:rFonts w:hint="eastAsia" w:ascii="仿宋_GB2312" w:eastAsia="仿宋_GB2312"/>
          <w:color w:val="262626" w:themeColor="text1" w:themeTint="D9"/>
          <w:sz w:val="32"/>
          <w14:textFill>
            <w14:solidFill>
              <w14:schemeClr w14:val="tx1">
                <w14:lumMod w14:val="85000"/>
                <w14:lumOff w14:val="15000"/>
              </w14:schemeClr>
            </w14:solidFill>
          </w14:textFill>
        </w:rPr>
        <w:t>当年一般公共预算财政拨款。</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eastAsia="仿宋_GB2312"/>
          <w:color w:val="262626" w:themeColor="text1" w:themeTint="D9"/>
          <w:sz w:val="32"/>
          <w14:textFill>
            <w14:solidFill>
              <w14:schemeClr w14:val="tx1">
                <w14:lumMod w14:val="85000"/>
                <w14:lumOff w14:val="15000"/>
              </w14:schemeClr>
            </w14:solidFill>
          </w14:textFill>
        </w:rPr>
      </w:pPr>
      <w:r>
        <w:rPr>
          <w:rFonts w:hint="eastAsia" w:ascii="仿宋_GB2312" w:eastAsia="仿宋_GB2312"/>
          <w:color w:val="262626" w:themeColor="text1" w:themeTint="D9"/>
          <w:sz w:val="32"/>
          <w:lang w:eastAsia="zh-CN"/>
          <w14:textFill>
            <w14:solidFill>
              <w14:schemeClr w14:val="tx1">
                <w14:lumMod w14:val="85000"/>
                <w14:lumOff w14:val="15000"/>
              </w14:schemeClr>
            </w14:solidFill>
          </w14:textFill>
        </w:rPr>
        <w:t>2023</w:t>
      </w:r>
      <w:r>
        <w:rPr>
          <w:rFonts w:hint="eastAsia" w:ascii="仿宋_GB2312" w:eastAsia="仿宋_GB2312"/>
          <w:color w:val="262626" w:themeColor="text1" w:themeTint="D9"/>
          <w:sz w:val="32"/>
          <w14:textFill>
            <w14:solidFill>
              <w14:schemeClr w14:val="tx1">
                <w14:lumMod w14:val="85000"/>
                <w14:lumOff w14:val="15000"/>
              </w14:schemeClr>
            </w14:solidFill>
          </w14:textFill>
        </w:rPr>
        <w:t>年度项目绩效总目标是：健全统计执法机制，强化统计基层基础工作建设，落实执法业务培训，完成全市地方统计调查数据的质量监测和核查工作。开展孝感市执法业务宣传与培训，提升业务水平；开展数据质量核查，及时将结果上报给省局。</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eastAsia="仿宋_GB2312"/>
          <w:color w:val="262626" w:themeColor="text1" w:themeTint="D9"/>
          <w:sz w:val="32"/>
          <w14:textFill>
            <w14:solidFill>
              <w14:schemeClr w14:val="tx1">
                <w14:lumMod w14:val="85000"/>
                <w14:lumOff w14:val="15000"/>
              </w14:schemeClr>
            </w14:solidFill>
          </w14:textFill>
        </w:rPr>
      </w:pPr>
      <w:r>
        <w:rPr>
          <w:rFonts w:hint="eastAsia" w:ascii="仿宋_GB2312" w:eastAsia="仿宋_GB2312"/>
          <w:color w:val="262626" w:themeColor="text1" w:themeTint="D9"/>
          <w:sz w:val="32"/>
          <w14:textFill>
            <w14:solidFill>
              <w14:schemeClr w14:val="tx1">
                <w14:lumMod w14:val="85000"/>
                <w14:lumOff w14:val="15000"/>
              </w14:schemeClr>
            </w14:solidFill>
          </w14:textFill>
        </w:rPr>
        <w:t>产出指标：</w:t>
      </w:r>
      <w:r>
        <w:rPr>
          <w:rFonts w:hint="eastAsia" w:ascii="仿宋_GB2312" w:eastAsia="仿宋_GB2312"/>
          <w:color w:val="262626" w:themeColor="text1" w:themeTint="D9"/>
          <w:sz w:val="32"/>
          <w:lang w:eastAsia="zh-CN"/>
          <w14:textFill>
            <w14:solidFill>
              <w14:schemeClr w14:val="tx1">
                <w14:lumMod w14:val="85000"/>
                <w14:lumOff w14:val="15000"/>
              </w14:schemeClr>
            </w14:solidFill>
          </w14:textFill>
        </w:rPr>
        <w:t>办公用品置购</w:t>
      </w:r>
      <w:r>
        <w:rPr>
          <w:rFonts w:hint="eastAsia" w:ascii="仿宋_GB2312" w:eastAsia="仿宋_GB2312"/>
          <w:color w:val="262626" w:themeColor="text1" w:themeTint="D9"/>
          <w:sz w:val="32"/>
          <w14:textFill>
            <w14:solidFill>
              <w14:schemeClr w14:val="tx1">
                <w14:lumMod w14:val="85000"/>
                <w14:lumOff w14:val="15000"/>
              </w14:schemeClr>
            </w14:solidFill>
          </w14:textFill>
        </w:rPr>
        <w:t>率1</w:t>
      </w:r>
      <w:r>
        <w:rPr>
          <w:rFonts w:ascii="仿宋_GB2312" w:eastAsia="仿宋_GB2312"/>
          <w:color w:val="262626" w:themeColor="text1" w:themeTint="D9"/>
          <w:sz w:val="32"/>
          <w14:textFill>
            <w14:solidFill>
              <w14:schemeClr w14:val="tx1">
                <w14:lumMod w14:val="85000"/>
                <w14:lumOff w14:val="15000"/>
              </w14:schemeClr>
            </w14:solidFill>
          </w14:textFill>
        </w:rPr>
        <w:t>00%；</w:t>
      </w:r>
      <w:r>
        <w:rPr>
          <w:rFonts w:hint="eastAsia" w:ascii="仿宋_GB2312" w:eastAsia="仿宋_GB2312"/>
          <w:color w:val="262626" w:themeColor="text1" w:themeTint="D9"/>
          <w:sz w:val="32"/>
          <w14:textFill>
            <w14:solidFill>
              <w14:schemeClr w14:val="tx1">
                <w14:lumMod w14:val="85000"/>
                <w14:lumOff w14:val="15000"/>
              </w14:schemeClr>
            </w14:solidFill>
          </w14:textFill>
        </w:rPr>
        <w:t>数据质量检查频次为4次/年；</w:t>
      </w:r>
      <w:r>
        <w:rPr>
          <w:rFonts w:hint="eastAsia" w:ascii="仿宋_GB2312" w:eastAsia="仿宋_GB2312"/>
          <w:color w:val="262626" w:themeColor="text1" w:themeTint="D9"/>
          <w:sz w:val="32"/>
          <w:lang w:eastAsia="zh-CN"/>
          <w14:textFill>
            <w14:solidFill>
              <w14:schemeClr w14:val="tx1">
                <w14:lumMod w14:val="85000"/>
                <w14:lumOff w14:val="15000"/>
              </w14:schemeClr>
            </w14:solidFill>
          </w14:textFill>
        </w:rPr>
        <w:t>业务培训举办次数为</w:t>
      </w:r>
      <w:r>
        <w:rPr>
          <w:rFonts w:hint="eastAsia" w:ascii="仿宋_GB2312" w:eastAsia="仿宋_GB2312"/>
          <w:color w:val="262626" w:themeColor="text1" w:themeTint="D9"/>
          <w:sz w:val="32"/>
          <w:lang w:val="en-US" w:eastAsia="zh-CN"/>
          <w14:textFill>
            <w14:solidFill>
              <w14:schemeClr w14:val="tx1">
                <w14:lumMod w14:val="85000"/>
                <w14:lumOff w14:val="15000"/>
              </w14:schemeClr>
            </w14:solidFill>
          </w14:textFill>
        </w:rPr>
        <w:t>3次/年；</w:t>
      </w:r>
      <w:r>
        <w:rPr>
          <w:rFonts w:hint="eastAsia" w:ascii="仿宋_GB2312" w:eastAsia="仿宋_GB2312"/>
          <w:color w:val="262626" w:themeColor="text1" w:themeTint="D9"/>
          <w:sz w:val="32"/>
          <w:lang w:eastAsia="zh-CN"/>
          <w14:textFill>
            <w14:solidFill>
              <w14:schemeClr w14:val="tx1">
                <w14:lumMod w14:val="85000"/>
                <w14:lumOff w14:val="15000"/>
              </w14:schemeClr>
            </w14:solidFill>
          </w14:textFill>
        </w:rPr>
        <w:t>执法完成</w:t>
      </w:r>
      <w:r>
        <w:rPr>
          <w:rFonts w:hint="eastAsia" w:ascii="仿宋_GB2312" w:eastAsia="仿宋_GB2312"/>
          <w:color w:val="262626" w:themeColor="text1" w:themeTint="D9"/>
          <w:sz w:val="32"/>
          <w14:textFill>
            <w14:solidFill>
              <w14:schemeClr w14:val="tx1">
                <w14:lumMod w14:val="85000"/>
                <w14:lumOff w14:val="15000"/>
              </w14:schemeClr>
            </w14:solidFill>
          </w14:textFill>
        </w:rPr>
        <w:t>率1</w:t>
      </w:r>
      <w:r>
        <w:rPr>
          <w:rFonts w:ascii="仿宋_GB2312" w:eastAsia="仿宋_GB2312"/>
          <w:color w:val="262626" w:themeColor="text1" w:themeTint="D9"/>
          <w:sz w:val="32"/>
          <w14:textFill>
            <w14:solidFill>
              <w14:schemeClr w14:val="tx1">
                <w14:lumMod w14:val="85000"/>
                <w14:lumOff w14:val="15000"/>
              </w14:schemeClr>
            </w14:solidFill>
          </w14:textFill>
        </w:rPr>
        <w:t>00%；</w:t>
      </w:r>
      <w:r>
        <w:rPr>
          <w:rFonts w:hint="eastAsia" w:ascii="仿宋_GB2312" w:eastAsia="仿宋_GB2312"/>
          <w:color w:val="262626" w:themeColor="text1" w:themeTint="D9"/>
          <w:sz w:val="32"/>
          <w:lang w:val="en-US" w:eastAsia="zh-CN"/>
          <w14:textFill>
            <w14:solidFill>
              <w14:schemeClr w14:val="tx1">
                <w14:lumMod w14:val="85000"/>
                <w14:lumOff w14:val="15000"/>
              </w14:schemeClr>
            </w14:solidFill>
          </w14:textFill>
        </w:rPr>
        <w:t>数据上报及时性为及时</w:t>
      </w:r>
      <w:r>
        <w:rPr>
          <w:rFonts w:hint="eastAsia" w:ascii="仿宋_GB2312" w:eastAsia="仿宋_GB2312"/>
          <w:color w:val="262626" w:themeColor="text1" w:themeTint="D9"/>
          <w:sz w:val="32"/>
          <w14:textFill>
            <w14:solidFill>
              <w14:schemeClr w14:val="tx1">
                <w14:lumMod w14:val="85000"/>
                <w14:lumOff w14:val="15000"/>
              </w14:schemeClr>
            </w14:solidFill>
          </w14:textFill>
        </w:rPr>
        <w:t>。</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olor w:val="262626" w:themeColor="text1" w:themeTint="D9"/>
          <w:sz w:val="32"/>
          <w:lang w:eastAsia="zh-CN"/>
          <w14:textFill>
            <w14:solidFill>
              <w14:schemeClr w14:val="tx1">
                <w14:lumMod w14:val="85000"/>
                <w14:lumOff w14:val="15000"/>
              </w14:schemeClr>
            </w14:solidFill>
          </w14:textFill>
        </w:rPr>
      </w:pPr>
      <w:r>
        <w:rPr>
          <w:rFonts w:hint="eastAsia" w:ascii="仿宋_GB2312" w:eastAsia="仿宋_GB2312"/>
          <w:color w:val="262626" w:themeColor="text1" w:themeTint="D9"/>
          <w:sz w:val="32"/>
          <w14:textFill>
            <w14:solidFill>
              <w14:schemeClr w14:val="tx1">
                <w14:lumMod w14:val="85000"/>
                <w14:lumOff w14:val="15000"/>
              </w14:schemeClr>
            </w14:solidFill>
          </w14:textFill>
        </w:rPr>
        <w:t>满意度指标：</w:t>
      </w:r>
      <w:r>
        <w:rPr>
          <w:rFonts w:ascii="仿宋_GB2312" w:eastAsia="仿宋_GB2312"/>
          <w:color w:val="262626" w:themeColor="text1" w:themeTint="D9"/>
          <w:sz w:val="32"/>
          <w14:textFill>
            <w14:solidFill>
              <w14:schemeClr w14:val="tx1">
                <w14:lumMod w14:val="85000"/>
                <w14:lumOff w14:val="15000"/>
              </w14:schemeClr>
            </w14:solidFill>
          </w14:textFill>
        </w:rPr>
        <w:t>政府</w:t>
      </w:r>
      <w:r>
        <w:rPr>
          <w:rFonts w:hint="eastAsia" w:ascii="仿宋_GB2312" w:eastAsia="仿宋_GB2312"/>
          <w:color w:val="262626" w:themeColor="text1" w:themeTint="D9"/>
          <w:sz w:val="32"/>
          <w:lang w:eastAsia="zh-CN"/>
          <w14:textFill>
            <w14:solidFill>
              <w14:schemeClr w14:val="tx1">
                <w14:lumMod w14:val="85000"/>
                <w14:lumOff w14:val="15000"/>
              </w14:schemeClr>
            </w14:solidFill>
          </w14:textFill>
        </w:rPr>
        <w:t>部门</w:t>
      </w:r>
      <w:r>
        <w:rPr>
          <w:rFonts w:ascii="仿宋_GB2312" w:eastAsia="仿宋_GB2312"/>
          <w:color w:val="262626" w:themeColor="text1" w:themeTint="D9"/>
          <w:sz w:val="32"/>
          <w14:textFill>
            <w14:solidFill>
              <w14:schemeClr w14:val="tx1">
                <w14:lumMod w14:val="85000"/>
                <w14:lumOff w14:val="15000"/>
              </w14:schemeClr>
            </w14:solidFill>
          </w14:textFill>
        </w:rPr>
        <w:t>及公众</w:t>
      </w:r>
      <w:r>
        <w:rPr>
          <w:rFonts w:hint="eastAsia" w:ascii="仿宋_GB2312" w:eastAsia="仿宋_GB2312"/>
          <w:color w:val="262626" w:themeColor="text1" w:themeTint="D9"/>
          <w:sz w:val="32"/>
          <w14:textFill>
            <w14:solidFill>
              <w14:schemeClr w14:val="tx1">
                <w14:lumMod w14:val="85000"/>
                <w14:lumOff w14:val="15000"/>
              </w14:schemeClr>
            </w14:solidFill>
          </w14:textFill>
        </w:rPr>
        <w:t>满意</w:t>
      </w:r>
      <w:r>
        <w:rPr>
          <w:rFonts w:ascii="仿宋_GB2312" w:eastAsia="仿宋_GB2312"/>
          <w:color w:val="262626" w:themeColor="text1" w:themeTint="D9"/>
          <w:sz w:val="32"/>
          <w14:textFill>
            <w14:solidFill>
              <w14:schemeClr w14:val="tx1">
                <w14:lumMod w14:val="85000"/>
                <w14:lumOff w14:val="15000"/>
              </w14:schemeClr>
            </w14:solidFill>
          </w14:textFill>
        </w:rPr>
        <w:t>度</w:t>
      </w:r>
      <w:r>
        <w:rPr>
          <w:rFonts w:hint="eastAsia" w:ascii="仿宋_GB2312" w:eastAsia="仿宋_GB2312"/>
          <w:color w:val="262626" w:themeColor="text1" w:themeTint="D9"/>
          <w:sz w:val="32"/>
          <w14:textFill>
            <w14:solidFill>
              <w14:schemeClr w14:val="tx1">
                <w14:lumMod w14:val="85000"/>
                <w14:lumOff w14:val="15000"/>
              </w14:schemeClr>
            </w14:solidFill>
          </w14:textFill>
        </w:rPr>
        <w:t>≥</w:t>
      </w:r>
      <w:r>
        <w:rPr>
          <w:rFonts w:ascii="仿宋_GB2312" w:eastAsia="仿宋_GB2312"/>
          <w:color w:val="262626" w:themeColor="text1" w:themeTint="D9"/>
          <w:sz w:val="32"/>
          <w14:textFill>
            <w14:solidFill>
              <w14:schemeClr w14:val="tx1">
                <w14:lumMod w14:val="85000"/>
                <w14:lumOff w14:val="15000"/>
              </w14:schemeClr>
            </w14:solidFill>
          </w14:textFill>
        </w:rPr>
        <w:t>85</w:t>
      </w:r>
      <w:r>
        <w:rPr>
          <w:rFonts w:hint="eastAsia" w:ascii="仿宋_GB2312" w:eastAsia="仿宋_GB2312"/>
          <w:color w:val="262626" w:themeColor="text1" w:themeTint="D9"/>
          <w:sz w:val="32"/>
          <w14:textFill>
            <w14:solidFill>
              <w14:schemeClr w14:val="tx1">
                <w14:lumMod w14:val="85000"/>
                <w14:lumOff w14:val="15000"/>
              </w14:schemeClr>
            </w14:solidFill>
          </w14:textFill>
        </w:rPr>
        <w:t>%</w:t>
      </w:r>
      <w:r>
        <w:rPr>
          <w:rFonts w:hint="eastAsia" w:ascii="仿宋_GB2312" w:eastAsia="仿宋_GB2312"/>
          <w:color w:val="262626" w:themeColor="text1" w:themeTint="D9"/>
          <w:sz w:val="32"/>
          <w:lang w:eastAsia="zh-CN"/>
          <w14:textFill>
            <w14:solidFill>
              <w14:schemeClr w14:val="tx1">
                <w14:lumMod w14:val="85000"/>
                <w14:lumOff w14:val="15000"/>
              </w14:schemeClr>
            </w14:solidFill>
          </w14:textFill>
        </w:rPr>
        <w:t>。</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eastAsia="仿宋_GB2312"/>
          <w:color w:val="262626" w:themeColor="text1" w:themeTint="D9"/>
          <w:sz w:val="32"/>
          <w14:textFill>
            <w14:solidFill>
              <w14:schemeClr w14:val="tx1">
                <w14:lumMod w14:val="85000"/>
                <w14:lumOff w14:val="15000"/>
              </w14:schemeClr>
            </w14:solidFill>
          </w14:textFill>
        </w:rPr>
        <w:t>效益指标：</w:t>
      </w:r>
      <w:r>
        <w:rPr>
          <w:rFonts w:hint="eastAsia" w:ascii="仿宋_GB2312" w:eastAsia="仿宋_GB2312"/>
          <w:color w:val="262626" w:themeColor="text1" w:themeTint="D9"/>
          <w:sz w:val="32"/>
          <w:lang w:eastAsia="zh-CN"/>
          <w14:textFill>
            <w14:solidFill>
              <w14:schemeClr w14:val="tx1">
                <w14:lumMod w14:val="85000"/>
                <w14:lumOff w14:val="15000"/>
              </w14:schemeClr>
            </w14:solidFill>
          </w14:textFill>
        </w:rPr>
        <w:t>统计执法保障度为有效保障</w:t>
      </w:r>
      <w:r>
        <w:rPr>
          <w:rFonts w:ascii="仿宋_GB2312" w:eastAsia="仿宋_GB2312"/>
          <w:color w:val="262626" w:themeColor="text1" w:themeTint="D9"/>
          <w:sz w:val="32"/>
          <w14:textFill>
            <w14:solidFill>
              <w14:schemeClr w14:val="tx1">
                <w14:lumMod w14:val="85000"/>
                <w14:lumOff w14:val="15000"/>
              </w14:schemeClr>
            </w14:solidFill>
          </w14:textFill>
        </w:rPr>
        <w:t>。</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九、其他需要说明的情况</w:t>
      </w:r>
    </w:p>
    <w:p>
      <w:pPr>
        <w:widowControl/>
        <w:shd w:val="clear"/>
        <w:spacing w:line="560" w:lineRule="exact"/>
        <w:ind w:firstLine="640" w:firstLineChars="200"/>
        <w:rPr>
          <w:rFonts w:hint="eastAsia" w:ascii="仿宋_GB2312" w:hAnsi="仿宋_GB2312" w:eastAsia="仿宋_GB2312" w:cs="仿宋_GB2312"/>
          <w:bCs/>
          <w:color w:val="262626" w:themeColor="text1" w:themeTint="D9"/>
          <w:kern w:val="0"/>
          <w:sz w:val="32"/>
          <w:szCs w:val="32"/>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bCs/>
          <w:color w:val="262626" w:themeColor="text1" w:themeTint="D9"/>
          <w:kern w:val="0"/>
          <w:sz w:val="32"/>
          <w:szCs w:val="32"/>
          <w:lang w:val="en-US" w:eastAsia="zh-CN"/>
          <w14:textFill>
            <w14:solidFill>
              <w14:schemeClr w14:val="tx1">
                <w14:lumMod w14:val="85000"/>
                <w14:lumOff w14:val="15000"/>
              </w14:schemeClr>
            </w14:solidFill>
          </w14:textFill>
        </w:rPr>
        <w:t>1.对空表的说明：附表7一般公共预算“三公”经费支出表，本单位2023年无因公出国（境）费、无公务用车购置费、无公车用车运行费，这三项数据为零。附表8政府性基金预算支出表，本单位2023年无此类支出，此表为空表。</w:t>
      </w:r>
    </w:p>
    <w:p>
      <w:pPr>
        <w:widowControl/>
        <w:shd w:val="clear"/>
        <w:spacing w:line="560" w:lineRule="exact"/>
        <w:ind w:firstLine="640"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Cs/>
          <w:color w:val="262626" w:themeColor="text1" w:themeTint="D9"/>
          <w:kern w:val="0"/>
          <w:sz w:val="32"/>
          <w:szCs w:val="32"/>
          <w:lang w:val="en-US" w:eastAsia="zh-CN"/>
          <w14:textFill>
            <w14:solidFill>
              <w14:schemeClr w14:val="tx1">
                <w14:lumMod w14:val="85000"/>
                <w14:lumOff w14:val="15000"/>
              </w14:schemeClr>
            </w14:solidFill>
          </w14:textFill>
        </w:rPr>
        <w:t>2.其他情况的说明：</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本单位2023年无财政省本级专项支出、无一般性转移支付支出、无专项转移支付支出、无举借政府债务情况。</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2" w:firstLineChars="200"/>
        <w:textAlignment w:val="auto"/>
        <w:outlineLvl w:val="9"/>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十</w:t>
      </w:r>
      <w:r>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w:t>
      </w: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专业名词解释</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1．机关运行经费：</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2．“三公”经费：</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3．政府采购：</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4．财政拨款（补助）收入：</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指从同级财政部门取得的财政预算资金。</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5．其他收入：</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指除上述“财政拨款收入”以外任务相应安排的资金。</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6．基本支出：</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指为保障机构正常运转、完成日常工作任务而发生的人员支出和公用支出。</w:t>
      </w:r>
    </w:p>
    <w:p>
      <w:pPr>
        <w:keepNext w:val="0"/>
        <w:keepLines w:val="0"/>
        <w:pageBreakBefore w:val="0"/>
        <w:widowControl/>
        <w:shd w:val="clear"/>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7．项目支出：</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指在基本支出之外为完成特定行政任务和事业发展目标所发生的支出。</w:t>
      </w:r>
    </w:p>
    <w:p>
      <w:pPr>
        <w:keepNext w:val="0"/>
        <w:keepLines w:val="0"/>
        <w:pageBreakBefore w:val="0"/>
        <w:widowControl/>
        <w:shd w:val="clear"/>
        <w:kinsoku/>
        <w:wordWrap/>
        <w:overflowPunct/>
        <w:topLinePunct w:val="0"/>
        <w:autoSpaceDE/>
        <w:autoSpaceDN/>
        <w:bidi w:val="0"/>
        <w:adjustRightInd/>
        <w:snapToGrid/>
        <w:spacing w:line="520" w:lineRule="exact"/>
        <w:ind w:firstLine="640" w:firstLineChars="200"/>
        <w:textAlignment w:val="auto"/>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pPr>
    </w:p>
    <w:p>
      <w:pPr>
        <w:widowControl/>
        <w:shd w:val="clear"/>
        <w:spacing w:line="520" w:lineRule="exact"/>
        <w:ind w:firstLine="320" w:firstLineChars="100"/>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pPr>
    </w:p>
    <w:p>
      <w:pPr>
        <w:shd w:val="clear"/>
        <w:ind w:firstLine="420"/>
        <w:rPr>
          <w:rFonts w:ascii="仿宋" w:hAnsi="仿宋" w:eastAsia="仿宋"/>
          <w:color w:val="262626" w:themeColor="text1" w:themeTint="D9"/>
          <w:sz w:val="32"/>
          <w:szCs w:val="32"/>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5B"/>
    <w:rsid w:val="0007474A"/>
    <w:rsid w:val="000F1F99"/>
    <w:rsid w:val="0010135B"/>
    <w:rsid w:val="00104384"/>
    <w:rsid w:val="001212FB"/>
    <w:rsid w:val="001F06A4"/>
    <w:rsid w:val="002144B6"/>
    <w:rsid w:val="00295E97"/>
    <w:rsid w:val="0030520C"/>
    <w:rsid w:val="00322A49"/>
    <w:rsid w:val="003E7A9D"/>
    <w:rsid w:val="004503F7"/>
    <w:rsid w:val="004D0181"/>
    <w:rsid w:val="0051352A"/>
    <w:rsid w:val="00561456"/>
    <w:rsid w:val="0057763A"/>
    <w:rsid w:val="006368CD"/>
    <w:rsid w:val="00683170"/>
    <w:rsid w:val="00711536"/>
    <w:rsid w:val="0074268D"/>
    <w:rsid w:val="00767043"/>
    <w:rsid w:val="007827A9"/>
    <w:rsid w:val="007A559B"/>
    <w:rsid w:val="00803BBA"/>
    <w:rsid w:val="008226AF"/>
    <w:rsid w:val="00825892"/>
    <w:rsid w:val="0096313A"/>
    <w:rsid w:val="00AC2B06"/>
    <w:rsid w:val="00AC4FAF"/>
    <w:rsid w:val="00AE30B8"/>
    <w:rsid w:val="00AE7AD7"/>
    <w:rsid w:val="00B40BD2"/>
    <w:rsid w:val="00BD7A04"/>
    <w:rsid w:val="00C24A40"/>
    <w:rsid w:val="00C61789"/>
    <w:rsid w:val="00C906D2"/>
    <w:rsid w:val="00CC0D29"/>
    <w:rsid w:val="00D87A1D"/>
    <w:rsid w:val="00E25628"/>
    <w:rsid w:val="00E7467E"/>
    <w:rsid w:val="00EB36A7"/>
    <w:rsid w:val="00EB3CB1"/>
    <w:rsid w:val="00EF1D11"/>
    <w:rsid w:val="00F014E5"/>
    <w:rsid w:val="1A225734"/>
    <w:rsid w:val="28C90085"/>
    <w:rsid w:val="30981C79"/>
    <w:rsid w:val="313D13A2"/>
    <w:rsid w:val="47036EBC"/>
    <w:rsid w:val="4D724880"/>
    <w:rsid w:val="55E3480B"/>
    <w:rsid w:val="6C630109"/>
    <w:rsid w:val="6EF374A9"/>
    <w:rsid w:val="6FFA8961"/>
    <w:rsid w:val="7533122B"/>
    <w:rsid w:val="7E7F1194"/>
    <w:rsid w:val="7F994BA0"/>
    <w:rsid w:val="7FDFEAC3"/>
    <w:rsid w:val="93F61998"/>
    <w:rsid w:val="EA96F30E"/>
    <w:rsid w:val="F8AFD55E"/>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character" w:styleId="7">
    <w:name w:val="Strong"/>
    <w:basedOn w:val="6"/>
    <w:qFormat/>
    <w:uiPriority w:val="22"/>
    <w:rPr>
      <w:b/>
      <w:bCs/>
    </w:rPr>
  </w:style>
  <w:style w:type="paragraph" w:customStyle="1" w:styleId="9">
    <w:name w:val="List Paragraph"/>
    <w:basedOn w:val="1"/>
    <w:qFormat/>
    <w:uiPriority w:val="34"/>
    <w:pPr>
      <w:ind w:firstLine="420" w:firstLineChars="200"/>
    </w:p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564</Words>
  <Characters>3218</Characters>
  <Lines>26</Lines>
  <Paragraphs>7</Paragraphs>
  <ScaleCrop>false</ScaleCrop>
  <LinksUpToDate>false</LinksUpToDate>
  <CharactersWithSpaces>3775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2022-02-25T02:06:00Z</dcterms:created>
  <dc:creator>曹群豪(拟稿)</dc:creator>
  <cp:lastModifiedBy>钟瑞文</cp:lastModifiedBy>
  <cp:lastPrinted>2022-02-24T02:20:00Z</cp:lastPrinted>
  <dcterms:modified xsi:type="dcterms:W3CDTF">2023-02-21T02:56:55Z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